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220" w:lineRule="atLeast"/>
        <w:rPr>
          <w:rFonts w:ascii="黑体" w:hAnsi="黑体" w:eastAsia="黑体" w:cs="黑体"/>
          <w:bCs/>
          <w:color w:val="auto"/>
          <w:sz w:val="24"/>
          <w:szCs w:val="24"/>
        </w:rPr>
      </w:pPr>
    </w:p>
    <w:p>
      <w:pPr>
        <w:spacing w:line="360" w:lineRule="auto"/>
        <w:jc w:val="center"/>
        <w:rPr>
          <w:rFonts w:ascii="仿宋_GB2312" w:eastAsia="仿宋_GB2312"/>
          <w:color w:val="auto"/>
          <w:sz w:val="28"/>
        </w:rPr>
      </w:pPr>
    </w:p>
    <w:p>
      <w:pPr>
        <w:spacing w:line="360" w:lineRule="auto"/>
        <w:jc w:val="center"/>
        <w:rPr>
          <w:rFonts w:ascii="仿宋_GB2312" w:eastAsia="仿宋_GB2312"/>
          <w:color w:val="auto"/>
          <w:sz w:val="28"/>
        </w:rPr>
      </w:pPr>
    </w:p>
    <w:p>
      <w:pPr>
        <w:spacing w:after="120"/>
        <w:jc w:val="both"/>
        <w:rPr>
          <w:rFonts w:hint="eastAsia" w:ascii="微软雅黑" w:hAnsi="微软雅黑"/>
          <w:b/>
          <w:color w:val="auto"/>
          <w:spacing w:val="-10"/>
          <w:sz w:val="32"/>
          <w:szCs w:val="32"/>
        </w:rPr>
      </w:pPr>
      <w:r>
        <w:rPr>
          <w:rFonts w:hint="eastAsia" w:ascii="微软雅黑" w:hAnsi="微软雅黑"/>
          <w:b/>
          <w:color w:val="auto"/>
          <w:spacing w:val="-10"/>
          <w:sz w:val="32"/>
          <w:szCs w:val="32"/>
        </w:rPr>
        <w:t>北京福田康明斯发动机有限公司重型发动机工厂产能提升项目</w:t>
      </w:r>
    </w:p>
    <w:p>
      <w:pPr>
        <w:spacing w:after="120"/>
        <w:jc w:val="center"/>
        <w:rPr>
          <w:rFonts w:hint="eastAsia" w:ascii="微软雅黑" w:hAnsi="微软雅黑"/>
          <w:b/>
          <w:color w:val="auto"/>
          <w:sz w:val="32"/>
          <w:szCs w:val="32"/>
          <w:lang w:val="en-US" w:eastAsia="zh-CN"/>
        </w:rPr>
      </w:pPr>
      <w:r>
        <w:rPr>
          <w:rFonts w:hint="eastAsia" w:ascii="微软雅黑" w:hAnsi="微软雅黑"/>
          <w:b/>
          <w:color w:val="auto"/>
          <w:sz w:val="32"/>
          <w:szCs w:val="32"/>
        </w:rPr>
        <w:t>天然气台架试验间</w:t>
      </w:r>
      <w:r>
        <w:rPr>
          <w:rFonts w:hint="eastAsia" w:ascii="微软雅黑" w:hAnsi="微软雅黑"/>
          <w:b/>
          <w:color w:val="auto"/>
          <w:sz w:val="32"/>
          <w:szCs w:val="32"/>
          <w:lang w:val="en-US" w:eastAsia="zh-CN"/>
        </w:rPr>
        <w:t>部分</w:t>
      </w:r>
    </w:p>
    <w:p>
      <w:pPr>
        <w:pStyle w:val="2"/>
        <w:rPr>
          <w:rFonts w:hint="eastAsia"/>
          <w:color w:val="auto"/>
          <w:lang w:eastAsia="zh-CN"/>
        </w:rPr>
      </w:pPr>
    </w:p>
    <w:p>
      <w:pPr>
        <w:spacing w:after="120"/>
        <w:jc w:val="center"/>
        <w:rPr>
          <w:rFonts w:ascii="微软雅黑" w:hAnsi="微软雅黑"/>
          <w:color w:val="auto"/>
          <w:sz w:val="36"/>
          <w:szCs w:val="36"/>
        </w:rPr>
      </w:pPr>
      <w:r>
        <w:rPr>
          <w:rFonts w:hint="eastAsia" w:ascii="微软雅黑" w:hAnsi="微软雅黑"/>
          <w:b/>
          <w:color w:val="auto"/>
          <w:sz w:val="36"/>
          <w:szCs w:val="36"/>
        </w:rPr>
        <w:t>竣工环境保护验收监测报告表</w:t>
      </w:r>
    </w:p>
    <w:p>
      <w:pPr>
        <w:spacing w:line="360" w:lineRule="auto"/>
        <w:jc w:val="center"/>
        <w:rPr>
          <w:rFonts w:ascii="仿宋_GB2312" w:eastAsia="仿宋_GB2312"/>
          <w:color w:val="auto"/>
          <w:sz w:val="28"/>
        </w:rPr>
      </w:pPr>
    </w:p>
    <w:p>
      <w:pPr>
        <w:jc w:val="center"/>
        <w:rPr>
          <w:rFonts w:ascii="仿宋_GB2312" w:eastAsia="仿宋_GB2312"/>
          <w:color w:val="auto"/>
          <w:sz w:val="28"/>
        </w:rPr>
      </w:pPr>
    </w:p>
    <w:p>
      <w:pPr>
        <w:jc w:val="center"/>
        <w:rPr>
          <w:rFonts w:ascii="仿宋_GB2312" w:eastAsia="仿宋_GB2312"/>
          <w:color w:val="auto"/>
          <w:sz w:val="28"/>
        </w:rPr>
      </w:pPr>
    </w:p>
    <w:p>
      <w:pPr>
        <w:jc w:val="center"/>
        <w:rPr>
          <w:rFonts w:ascii="仿宋_GB2312" w:eastAsia="仿宋_GB2312"/>
          <w:color w:val="auto"/>
          <w:sz w:val="28"/>
        </w:rPr>
      </w:pPr>
    </w:p>
    <w:p>
      <w:pPr>
        <w:rPr>
          <w:rFonts w:ascii="仿宋_GB2312" w:eastAsia="仿宋_GB2312"/>
          <w:color w:val="auto"/>
          <w:sz w:val="28"/>
        </w:rPr>
      </w:pPr>
    </w:p>
    <w:p>
      <w:pPr>
        <w:rPr>
          <w:rFonts w:ascii="仿宋_GB2312" w:eastAsia="仿宋_GB2312"/>
          <w:color w:val="auto"/>
          <w:sz w:val="28"/>
        </w:rPr>
      </w:pPr>
    </w:p>
    <w:p>
      <w:pPr>
        <w:rPr>
          <w:rFonts w:ascii="仿宋_GB2312" w:eastAsia="仿宋_GB2312"/>
          <w:color w:val="auto"/>
          <w:sz w:val="28"/>
        </w:rPr>
      </w:pPr>
    </w:p>
    <w:p>
      <w:pPr>
        <w:rPr>
          <w:rFonts w:ascii="仿宋_GB2312" w:eastAsia="仿宋_GB2312"/>
          <w:color w:val="auto"/>
          <w:sz w:val="28"/>
        </w:rPr>
      </w:pPr>
    </w:p>
    <w:p>
      <w:pPr>
        <w:rPr>
          <w:rFonts w:ascii="仿宋_GB2312" w:eastAsia="仿宋_GB2312"/>
          <w:color w:val="auto"/>
          <w:sz w:val="28"/>
        </w:rPr>
      </w:pPr>
    </w:p>
    <w:p>
      <w:pPr>
        <w:rPr>
          <w:rFonts w:ascii="华文新魏" w:eastAsia="华文新魏"/>
          <w:color w:val="auto"/>
          <w:sz w:val="28"/>
          <w:szCs w:val="28"/>
        </w:rPr>
      </w:pPr>
      <w:r>
        <w:rPr>
          <w:rFonts w:ascii="仿宋_GB2312" w:eastAsia="仿宋_GB2312"/>
          <w:color w:val="auto"/>
          <w:sz w:val="28"/>
        </w:rPr>
        <w:tab/>
      </w:r>
    </w:p>
    <w:p>
      <w:pPr>
        <w:jc w:val="center"/>
        <w:rPr>
          <w:rFonts w:ascii="微软雅黑" w:hAnsi="微软雅黑"/>
          <w:color w:val="auto"/>
          <w:sz w:val="28"/>
          <w:szCs w:val="28"/>
        </w:rPr>
      </w:pPr>
      <w:r>
        <w:rPr>
          <w:rFonts w:hint="eastAsia" w:ascii="微软雅黑" w:hAnsi="微软雅黑"/>
          <w:color w:val="auto"/>
          <w:sz w:val="28"/>
          <w:szCs w:val="28"/>
        </w:rPr>
        <w:t>建设单位: 北京福田康明斯发动机有限公司</w:t>
      </w:r>
    </w:p>
    <w:p>
      <w:pPr>
        <w:spacing w:line="360" w:lineRule="auto"/>
        <w:jc w:val="center"/>
        <w:rPr>
          <w:rFonts w:ascii="Times New Roman" w:hAnsi="Times New Roman" w:cs="Times New Roman"/>
          <w:color w:val="auto"/>
          <w:sz w:val="28"/>
          <w:szCs w:val="28"/>
        </w:rPr>
      </w:pPr>
      <w:r>
        <w:rPr>
          <w:rFonts w:hint="eastAsia" w:ascii="微软雅黑" w:hAnsi="微软雅黑"/>
          <w:color w:val="auto"/>
          <w:sz w:val="28"/>
          <w:szCs w:val="28"/>
        </w:rPr>
        <w:t>编制单位：</w:t>
      </w:r>
      <w:r>
        <w:rPr>
          <w:rFonts w:ascii="Times New Roman" w:hAnsi="Times New Roman" w:cs="Times New Roman"/>
          <w:color w:val="auto"/>
          <w:sz w:val="28"/>
          <w:szCs w:val="28"/>
        </w:rPr>
        <w:t>北京福田康明斯发动机有限公司</w:t>
      </w:r>
    </w:p>
    <w:p>
      <w:pPr>
        <w:spacing w:line="360" w:lineRule="auto"/>
        <w:jc w:val="center"/>
        <w:rPr>
          <w:rFonts w:ascii="Times New Roman" w:hAnsi="Times New Roman" w:eastAsia="华文新魏" w:cs="Times New Roman"/>
          <w:color w:val="auto"/>
          <w:sz w:val="28"/>
          <w:szCs w:val="28"/>
        </w:rPr>
      </w:pPr>
      <w:r>
        <w:rPr>
          <w:rFonts w:ascii="Times New Roman" w:hAnsi="Times New Roman" w:cs="Times New Roman"/>
          <w:color w:val="auto"/>
          <w:sz w:val="28"/>
          <w:szCs w:val="28"/>
        </w:rPr>
        <w:t>2022年06月</w:t>
      </w:r>
    </w:p>
    <w:p>
      <w:pPr>
        <w:rPr>
          <w:rFonts w:ascii="华文新魏" w:eastAsia="华文新魏"/>
          <w:color w:val="auto"/>
          <w:sz w:val="28"/>
          <w:szCs w:val="28"/>
        </w:rPr>
      </w:pPr>
    </w:p>
    <w:p>
      <w:pPr>
        <w:rPr>
          <w:rFonts w:ascii="仿宋_GB2312" w:eastAsia="仿宋_GB2312"/>
          <w:color w:val="auto"/>
          <w:sz w:val="32"/>
        </w:rPr>
      </w:pPr>
      <w:r>
        <w:rPr>
          <w:rFonts w:ascii="仿宋_GB2312" w:eastAsia="仿宋_GB2312"/>
          <w:color w:val="auto"/>
          <w:sz w:val="32"/>
        </w:rPr>
        <w:br w:type="page"/>
      </w:r>
      <w:r>
        <w:rPr>
          <w:rFonts w:ascii="仿宋_GB2312" w:eastAsia="仿宋_GB2312"/>
          <w:b/>
          <w:color w:val="auto"/>
          <w:sz w:val="28"/>
        </w:rPr>
        <w:tab/>
      </w:r>
    </w:p>
    <w:p>
      <w:pPr>
        <w:spacing w:line="360" w:lineRule="auto"/>
        <w:rPr>
          <w:rFonts w:ascii="仿宋_GB2312" w:eastAsia="仿宋_GB2312"/>
          <w:color w:val="auto"/>
          <w:sz w:val="28"/>
        </w:rPr>
      </w:pPr>
      <w:r>
        <w:rPr>
          <w:rFonts w:hint="eastAsia" w:ascii="仿宋_GB2312" w:eastAsia="仿宋_GB2312"/>
          <w:b/>
          <w:color w:val="auto"/>
          <w:sz w:val="28"/>
        </w:rPr>
        <w:t>建设单位法人代表</w:t>
      </w:r>
      <w:r>
        <w:rPr>
          <w:rFonts w:ascii="仿宋_GB2312" w:eastAsia="仿宋_GB2312"/>
          <w:b/>
          <w:color w:val="auto"/>
          <w:sz w:val="28"/>
        </w:rPr>
        <w:t>:</w:t>
      </w:r>
      <w:r>
        <w:rPr>
          <w:rFonts w:ascii="仿宋_GB2312" w:eastAsia="仿宋_GB2312"/>
          <w:color w:val="auto"/>
          <w:sz w:val="28"/>
        </w:rPr>
        <w:tab/>
      </w:r>
      <w:r>
        <w:rPr>
          <w:rFonts w:hint="eastAsia" w:ascii="仿宋_GB2312" w:eastAsia="仿宋_GB2312"/>
          <w:b/>
          <w:color w:val="auto"/>
          <w:spacing w:val="10"/>
          <w:w w:val="79"/>
          <w:sz w:val="28"/>
        </w:rPr>
        <w:t xml:space="preserve">武锡斌     </w:t>
      </w:r>
      <w:r>
        <w:rPr>
          <w:rFonts w:hint="eastAsia" w:ascii="仿宋_GB2312" w:eastAsia="仿宋_GB2312"/>
          <w:color w:val="auto"/>
          <w:sz w:val="28"/>
        </w:rPr>
        <w:t xml:space="preserve">  （签字）</w:t>
      </w:r>
    </w:p>
    <w:p>
      <w:pPr>
        <w:spacing w:line="360" w:lineRule="auto"/>
        <w:rPr>
          <w:rFonts w:ascii="仿宋_GB2312" w:eastAsia="仿宋_GB2312"/>
          <w:color w:val="auto"/>
          <w:sz w:val="28"/>
        </w:rPr>
      </w:pPr>
      <w:r>
        <w:rPr>
          <w:rFonts w:hint="eastAsia" w:ascii="仿宋_GB2312" w:eastAsia="仿宋_GB2312"/>
          <w:b/>
          <w:color w:val="auto"/>
          <w:sz w:val="28"/>
        </w:rPr>
        <w:t>编制单位法人代表</w:t>
      </w:r>
      <w:r>
        <w:rPr>
          <w:rFonts w:ascii="仿宋_GB2312" w:eastAsia="仿宋_GB2312"/>
          <w:b/>
          <w:color w:val="auto"/>
          <w:sz w:val="28"/>
        </w:rPr>
        <w:t>:</w:t>
      </w:r>
      <w:r>
        <w:rPr>
          <w:rFonts w:ascii="仿宋_GB2312" w:eastAsia="仿宋_GB2312"/>
          <w:color w:val="auto"/>
          <w:sz w:val="28"/>
        </w:rPr>
        <w:tab/>
      </w:r>
      <w:r>
        <w:rPr>
          <w:rFonts w:hint="eastAsia" w:ascii="仿宋_GB2312" w:eastAsia="仿宋_GB2312"/>
          <w:b/>
          <w:color w:val="auto"/>
          <w:spacing w:val="10"/>
          <w:w w:val="79"/>
          <w:sz w:val="28"/>
        </w:rPr>
        <w:t>武锡斌</w:t>
      </w:r>
      <w:r>
        <w:rPr>
          <w:rFonts w:hint="eastAsia" w:ascii="仿宋_GB2312" w:eastAsia="仿宋_GB2312"/>
          <w:color w:val="auto"/>
          <w:sz w:val="28"/>
        </w:rPr>
        <w:t xml:space="preserve">      （签字）</w:t>
      </w:r>
    </w:p>
    <w:p>
      <w:pPr>
        <w:spacing w:line="360" w:lineRule="auto"/>
        <w:rPr>
          <w:rFonts w:ascii="仿宋_GB2312" w:eastAsia="仿宋_GB2312"/>
          <w:b/>
          <w:color w:val="auto"/>
          <w:spacing w:val="7"/>
          <w:w w:val="79"/>
          <w:sz w:val="28"/>
        </w:rPr>
      </w:pPr>
      <w:r>
        <w:rPr>
          <w:rFonts w:hint="eastAsia" w:ascii="仿宋_GB2312" w:eastAsia="仿宋_GB2312"/>
          <w:b/>
          <w:color w:val="auto"/>
          <w:spacing w:val="20"/>
          <w:w w:val="79"/>
          <w:sz w:val="28"/>
        </w:rPr>
        <w:t>项 目 负 责 人</w:t>
      </w:r>
      <w:r>
        <w:rPr>
          <w:rFonts w:ascii="仿宋_GB2312" w:eastAsia="仿宋_GB2312"/>
          <w:b/>
          <w:color w:val="auto"/>
          <w:spacing w:val="10"/>
          <w:w w:val="79"/>
          <w:sz w:val="28"/>
        </w:rPr>
        <w:t>:</w:t>
      </w:r>
      <w:r>
        <w:rPr>
          <w:rFonts w:hint="eastAsia" w:ascii="仿宋_GB2312" w:eastAsia="仿宋_GB2312"/>
          <w:b/>
          <w:color w:val="auto"/>
          <w:spacing w:val="10"/>
          <w:w w:val="79"/>
          <w:sz w:val="28"/>
        </w:rPr>
        <w:t xml:space="preserve"> 韩敏</w:t>
      </w:r>
    </w:p>
    <w:p>
      <w:pPr>
        <w:spacing w:line="360" w:lineRule="auto"/>
        <w:rPr>
          <w:rFonts w:ascii="仿宋_GB2312" w:eastAsia="仿宋_GB2312"/>
          <w:b/>
          <w:color w:val="auto"/>
          <w:spacing w:val="7"/>
          <w:w w:val="79"/>
          <w:sz w:val="28"/>
        </w:rPr>
      </w:pPr>
      <w:r>
        <w:rPr>
          <w:rFonts w:hint="eastAsia" w:ascii="仿宋_GB2312" w:eastAsia="仿宋_GB2312"/>
          <w:b/>
          <w:color w:val="auto"/>
          <w:spacing w:val="141"/>
          <w:w w:val="79"/>
          <w:sz w:val="28"/>
        </w:rPr>
        <w:t>填表人</w:t>
      </w:r>
      <w:r>
        <w:rPr>
          <w:rFonts w:hint="eastAsia" w:ascii="仿宋_GB2312" w:eastAsia="仿宋_GB2312"/>
          <w:b/>
          <w:color w:val="auto"/>
          <w:spacing w:val="2"/>
          <w:w w:val="79"/>
          <w:sz w:val="28"/>
        </w:rPr>
        <w:t>： 王丹</w:t>
      </w:r>
    </w:p>
    <w:p>
      <w:pPr>
        <w:spacing w:line="360" w:lineRule="auto"/>
        <w:rPr>
          <w:rFonts w:ascii="仿宋_GB2312" w:eastAsia="仿宋_GB2312"/>
          <w:color w:val="auto"/>
          <w:sz w:val="28"/>
        </w:rPr>
      </w:pPr>
      <w:r>
        <w:rPr>
          <w:rFonts w:ascii="仿宋_GB2312" w:eastAsia="仿宋_GB2312"/>
          <w:color w:val="auto"/>
          <w:sz w:val="28"/>
        </w:rPr>
        <w:tab/>
      </w:r>
    </w:p>
    <w:p>
      <w:pPr>
        <w:spacing w:line="360" w:lineRule="auto"/>
        <w:rPr>
          <w:rFonts w:ascii="仿宋_GB2312" w:eastAsia="仿宋_GB2312"/>
          <w:color w:val="auto"/>
          <w:sz w:val="28"/>
        </w:rPr>
      </w:pPr>
    </w:p>
    <w:p>
      <w:pPr>
        <w:tabs>
          <w:tab w:val="left" w:pos="984"/>
        </w:tabs>
        <w:spacing w:line="360" w:lineRule="auto"/>
        <w:rPr>
          <w:rFonts w:ascii="仿宋_GB2312" w:eastAsia="仿宋_GB2312"/>
          <w:color w:val="auto"/>
          <w:sz w:val="28"/>
        </w:rPr>
      </w:pPr>
      <w:r>
        <w:rPr>
          <w:rFonts w:ascii="仿宋_GB2312" w:eastAsia="仿宋_GB2312"/>
          <w:color w:val="auto"/>
          <w:sz w:val="28"/>
        </w:rPr>
        <w:tab/>
      </w:r>
    </w:p>
    <w:p>
      <w:pPr>
        <w:tabs>
          <w:tab w:val="left" w:pos="984"/>
        </w:tabs>
        <w:spacing w:line="360" w:lineRule="auto"/>
        <w:rPr>
          <w:rFonts w:ascii="仿宋_GB2312" w:eastAsia="仿宋_GB2312"/>
          <w:color w:val="auto"/>
          <w:sz w:val="28"/>
        </w:rPr>
      </w:pPr>
    </w:p>
    <w:p>
      <w:pPr>
        <w:spacing w:line="360" w:lineRule="auto"/>
        <w:rPr>
          <w:rFonts w:ascii="仿宋_GB2312" w:eastAsia="仿宋_GB2312"/>
          <w:color w:val="auto"/>
          <w:sz w:val="28"/>
        </w:rPr>
      </w:pPr>
    </w:p>
    <w:p>
      <w:pPr>
        <w:spacing w:line="360" w:lineRule="auto"/>
        <w:rPr>
          <w:rFonts w:ascii="仿宋_GB2312" w:eastAsia="仿宋_GB2312"/>
          <w:color w:val="auto"/>
          <w:sz w:val="28"/>
        </w:rPr>
      </w:pPr>
    </w:p>
    <w:p>
      <w:pPr>
        <w:spacing w:line="360" w:lineRule="auto"/>
        <w:rPr>
          <w:rFonts w:ascii="仿宋_GB2312" w:eastAsia="仿宋_GB2312"/>
          <w:color w:val="auto"/>
          <w:sz w:val="24"/>
          <w:szCs w:val="21"/>
        </w:rPr>
      </w:pPr>
    </w:p>
    <w:p>
      <w:pPr>
        <w:pStyle w:val="2"/>
        <w:rPr>
          <w:color w:val="auto"/>
        </w:rPr>
      </w:pPr>
    </w:p>
    <w:p>
      <w:pPr>
        <w:pStyle w:val="3"/>
        <w:rPr>
          <w:color w:val="auto"/>
        </w:rPr>
      </w:pPr>
    </w:p>
    <w:p>
      <w:pPr>
        <w:rPr>
          <w:color w:val="auto"/>
        </w:rPr>
      </w:pPr>
    </w:p>
    <w:p>
      <w:pPr>
        <w:pStyle w:val="2"/>
        <w:rPr>
          <w:color w:val="auto"/>
        </w:rPr>
      </w:pPr>
    </w:p>
    <w:p>
      <w:pPr>
        <w:pStyle w:val="24"/>
        <w:ind w:left="440"/>
        <w:rPr>
          <w:color w:val="auto"/>
        </w:rPr>
        <w:sectPr>
          <w:footerReference r:id="rId4" w:type="default"/>
          <w:pgSz w:w="11906" w:h="16838"/>
          <w:pgMar w:top="1440" w:right="1800" w:bottom="1440" w:left="1800" w:header="708" w:footer="708" w:gutter="0"/>
          <w:pgNumType w:start="1"/>
          <w:cols w:space="720" w:num="1"/>
          <w:titlePg/>
          <w:docGrid w:linePitch="360" w:charSpace="0"/>
        </w:sectPr>
      </w:pP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 xml:space="preserve">建设单位：北京福田康明斯发动机有限公司（盖章）     </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电话: 010-80736471</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邮编: 102206</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 xml:space="preserve">地址: </w:t>
      </w:r>
      <w:r>
        <w:rPr>
          <w:rFonts w:ascii="Times New Roman" w:hAnsi="Times New Roman" w:eastAsia="仿宋_GB2312" w:cs="Times New Roman"/>
          <w:color w:val="auto"/>
          <w:sz w:val="21"/>
          <w:szCs w:val="21"/>
        </w:rPr>
        <w:t>北京市昌平区沙河镇沙阳路15-1号</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编制单位：北京福田康明斯发动机有限公司（盖章）</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电话: 010-80736471</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邮编: 102206</w:t>
      </w:r>
    </w:p>
    <w:p>
      <w:pPr>
        <w:spacing w:after="80" w:line="360" w:lineRule="auto"/>
        <w:rPr>
          <w:rFonts w:ascii="Times New Roman" w:hAnsi="Times New Roman" w:eastAsia="仿宋_GB2312" w:cs="Times New Roman"/>
          <w:color w:val="auto"/>
          <w:sz w:val="24"/>
          <w:szCs w:val="21"/>
        </w:rPr>
      </w:pPr>
      <w:r>
        <w:rPr>
          <w:rFonts w:ascii="Times New Roman" w:hAnsi="Times New Roman" w:eastAsia="仿宋_GB2312" w:cs="Times New Roman"/>
          <w:color w:val="auto"/>
          <w:sz w:val="24"/>
          <w:szCs w:val="21"/>
        </w:rPr>
        <w:t xml:space="preserve">地址: </w:t>
      </w:r>
      <w:r>
        <w:rPr>
          <w:rFonts w:ascii="Times New Roman" w:hAnsi="Times New Roman" w:eastAsia="仿宋_GB2312" w:cs="Times New Roman"/>
          <w:color w:val="auto"/>
          <w:sz w:val="21"/>
          <w:szCs w:val="21"/>
        </w:rPr>
        <w:t>北京市昌平区沙河镇沙阳路15-1号</w:t>
      </w:r>
    </w:p>
    <w:p>
      <w:pPr>
        <w:spacing w:after="80" w:line="360" w:lineRule="auto"/>
        <w:rPr>
          <w:rFonts w:ascii="Times New Roman" w:hAnsi="Times New Roman" w:eastAsia="仿宋_GB2312" w:cs="Times New Roman"/>
          <w:color w:val="auto"/>
          <w:sz w:val="24"/>
          <w:szCs w:val="21"/>
        </w:rPr>
        <w:sectPr>
          <w:type w:val="continuous"/>
          <w:pgSz w:w="11906" w:h="16838"/>
          <w:pgMar w:top="1440" w:right="1800" w:bottom="1440" w:left="1800" w:header="708" w:footer="708" w:gutter="0"/>
          <w:cols w:equalWidth="0" w:num="2">
            <w:col w:w="3940" w:space="425"/>
            <w:col w:w="3940"/>
          </w:cols>
          <w:docGrid w:linePitch="360" w:charSpace="0"/>
        </w:sectPr>
      </w:pPr>
    </w:p>
    <w:p>
      <w:pPr>
        <w:spacing w:after="0" w:line="360" w:lineRule="auto"/>
        <w:outlineLvl w:val="0"/>
        <w:rPr>
          <w:rFonts w:eastAsia="仿宋_GB2312"/>
          <w:b/>
          <w:color w:val="auto"/>
          <w:sz w:val="21"/>
          <w:szCs w:val="21"/>
        </w:rPr>
      </w:pPr>
      <w:r>
        <w:rPr>
          <w:rFonts w:hAnsi="Arial" w:eastAsia="仿宋_GB2312"/>
          <w:b/>
          <w:color w:val="auto"/>
          <w:sz w:val="21"/>
          <w:szCs w:val="21"/>
        </w:rPr>
        <w:t>表一</w:t>
      </w:r>
    </w:p>
    <w:tbl>
      <w:tblPr>
        <w:tblStyle w:val="18"/>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2198"/>
        <w:gridCol w:w="1675"/>
        <w:gridCol w:w="1246"/>
        <w:gridCol w:w="727"/>
        <w:gridCol w:w="9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建设项目名称</w:t>
            </w:r>
          </w:p>
        </w:tc>
        <w:tc>
          <w:tcPr>
            <w:tcW w:w="6772" w:type="dxa"/>
            <w:gridSpan w:val="5"/>
            <w:vAlign w:val="center"/>
          </w:tcPr>
          <w:p>
            <w:pPr>
              <w:spacing w:after="12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北京福田康明斯发动机有限公司</w:t>
            </w:r>
            <w:r>
              <w:rPr>
                <w:rFonts w:hint="eastAsia" w:ascii="Times New Roman" w:hAnsi="Times New Roman" w:eastAsia="宋体" w:cs="Times New Roman"/>
                <w:color w:val="auto"/>
                <w:sz w:val="21"/>
                <w:szCs w:val="21"/>
              </w:rPr>
              <w:t>重型发动机工厂产能提升项目天然气台架试验间</w:t>
            </w:r>
            <w:r>
              <w:rPr>
                <w:rFonts w:hint="eastAsia" w:ascii="Times New Roman" w:hAnsi="Times New Roman" w:eastAsia="宋体" w:cs="Times New Roman"/>
                <w:color w:val="auto"/>
                <w:sz w:val="21"/>
                <w:szCs w:val="21"/>
                <w:lang w:val="en-US" w:eastAsia="zh-CN"/>
              </w:rPr>
              <w:t>部分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建设单位名称</w:t>
            </w:r>
          </w:p>
        </w:tc>
        <w:tc>
          <w:tcPr>
            <w:tcW w:w="6772" w:type="dxa"/>
            <w:gridSpan w:val="5"/>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北京福田康明斯发动机有限公司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建设项目性质</w:t>
            </w:r>
          </w:p>
        </w:tc>
        <w:tc>
          <w:tcPr>
            <w:tcW w:w="6772" w:type="dxa"/>
            <w:gridSpan w:val="5"/>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新</w:t>
            </w:r>
            <w:r>
              <w:rPr>
                <w:rFonts w:ascii="Times New Roman" w:hAnsi="Times New Roman" w:eastAsia="宋体" w:cs="Times New Roman"/>
                <w:color w:val="auto"/>
                <w:sz w:val="21"/>
                <w:szCs w:val="21"/>
              </w:rPr>
              <w:t>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建设地点</w:t>
            </w:r>
          </w:p>
        </w:tc>
        <w:tc>
          <w:tcPr>
            <w:tcW w:w="6772" w:type="dxa"/>
            <w:gridSpan w:val="5"/>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北京市昌平区沙河镇沙阳路15-1号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主要产品名称</w:t>
            </w:r>
          </w:p>
        </w:tc>
        <w:tc>
          <w:tcPr>
            <w:tcW w:w="6772" w:type="dxa"/>
            <w:gridSpan w:val="5"/>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设计生产能力</w:t>
            </w:r>
          </w:p>
        </w:tc>
        <w:tc>
          <w:tcPr>
            <w:tcW w:w="6772" w:type="dxa"/>
            <w:gridSpan w:val="5"/>
            <w:vAlign w:val="center"/>
          </w:tcPr>
          <w:p>
            <w:pPr>
              <w:spacing w:after="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占地面积313.9m</w:t>
            </w:r>
            <w:r>
              <w:rPr>
                <w:rFonts w:hint="eastAsia" w:ascii="Times New Roman" w:hAnsi="Times New Roman" w:eastAsia="宋体" w:cs="Times New Roman"/>
                <w:color w:val="auto"/>
                <w:sz w:val="21"/>
                <w:szCs w:val="21"/>
                <w:vertAlign w:val="superscript"/>
              </w:rPr>
              <w:t>2</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建筑面积</w:t>
            </w:r>
            <w:bookmarkStart w:id="0" w:name="_Hlk106474767"/>
            <w:r>
              <w:rPr>
                <w:rFonts w:ascii="Times New Roman" w:hAnsi="Times New Roman" w:eastAsia="宋体" w:cs="Times New Roman"/>
                <w:color w:val="auto"/>
                <w:sz w:val="21"/>
                <w:szCs w:val="21"/>
              </w:rPr>
              <w:t>407m</w:t>
            </w:r>
            <w:r>
              <w:rPr>
                <w:rFonts w:ascii="Times New Roman" w:hAnsi="Times New Roman" w:eastAsia="宋体" w:cs="Times New Roman"/>
                <w:color w:val="auto"/>
                <w:sz w:val="21"/>
                <w:szCs w:val="21"/>
                <w:vertAlign w:val="superscript"/>
              </w:rPr>
              <w:t>2</w:t>
            </w:r>
            <w:bookmarkEnd w:id="0"/>
            <w:r>
              <w:rPr>
                <w:rFonts w:ascii="Times New Roman" w:hAnsi="Times New Roman" w:eastAsia="宋体" w:cs="Times New Roman"/>
                <w:color w:val="auto"/>
                <w:sz w:val="21"/>
                <w:szCs w:val="21"/>
              </w:rPr>
              <w:t>；预</w:t>
            </w:r>
            <w:r>
              <w:rPr>
                <w:rFonts w:hint="eastAsia" w:ascii="Times New Roman" w:hAnsi="Times New Roman" w:eastAsia="宋体" w:cs="Times New Roman"/>
                <w:color w:val="auto"/>
                <w:sz w:val="21"/>
                <w:szCs w:val="21"/>
              </w:rPr>
              <w:t>计年测试天然</w:t>
            </w:r>
            <w:r>
              <w:rPr>
                <w:rFonts w:ascii="Times New Roman" w:hAnsi="Times New Roman" w:eastAsia="宋体" w:cs="Times New Roman"/>
                <w:color w:val="auto"/>
                <w:sz w:val="21"/>
                <w:szCs w:val="21"/>
              </w:rPr>
              <w:t>气发动机（12L+15L）</w:t>
            </w:r>
            <w:r>
              <w:rPr>
                <w:rFonts w:hint="eastAsia" w:ascii="Times New Roman" w:hAnsi="Times New Roman" w:eastAsia="宋体" w:cs="Times New Roman"/>
                <w:color w:val="auto"/>
                <w:sz w:val="21"/>
                <w:szCs w:val="21"/>
              </w:rPr>
              <w:t>4.34万台。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实际生产能力</w:t>
            </w:r>
          </w:p>
        </w:tc>
        <w:tc>
          <w:tcPr>
            <w:tcW w:w="6772" w:type="dxa"/>
            <w:gridSpan w:val="5"/>
            <w:vAlign w:val="center"/>
          </w:tcPr>
          <w:p>
            <w:pPr>
              <w:spacing w:after="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占地面积313.9m</w:t>
            </w:r>
            <w:r>
              <w:rPr>
                <w:rFonts w:hint="eastAsia" w:ascii="Times New Roman" w:hAnsi="Times New Roman" w:eastAsia="宋体" w:cs="Times New Roman"/>
                <w:color w:val="auto"/>
                <w:sz w:val="21"/>
                <w:szCs w:val="21"/>
                <w:vertAlign w:val="superscript"/>
              </w:rPr>
              <w:t>2</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建筑面积407m</w:t>
            </w:r>
            <w:r>
              <w:rPr>
                <w:rFonts w:ascii="Times New Roman" w:hAnsi="Times New Roman" w:eastAsia="宋体" w:cs="Times New Roman"/>
                <w:color w:val="auto"/>
                <w:sz w:val="21"/>
                <w:szCs w:val="21"/>
                <w:vertAlign w:val="superscript"/>
              </w:rPr>
              <w:t>2</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年</w:t>
            </w:r>
            <w:r>
              <w:rPr>
                <w:rFonts w:ascii="Times New Roman" w:hAnsi="Times New Roman" w:eastAsia="宋体" w:cs="Times New Roman"/>
                <w:color w:val="auto"/>
                <w:sz w:val="21"/>
                <w:szCs w:val="21"/>
              </w:rPr>
              <w:t>测试天然气发动机（12L+15L）</w:t>
            </w:r>
            <w:r>
              <w:rPr>
                <w:rFonts w:hint="eastAsia" w:ascii="Times New Roman" w:hAnsi="Times New Roman" w:eastAsia="宋体" w:cs="Times New Roman"/>
                <w:color w:val="auto"/>
                <w:sz w:val="21"/>
                <w:szCs w:val="21"/>
              </w:rPr>
              <w:t>4.34万台。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建设项目环评时间</w:t>
            </w:r>
          </w:p>
        </w:tc>
        <w:tc>
          <w:tcPr>
            <w:tcW w:w="2198"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w:t>
            </w:r>
            <w:r>
              <w:rPr>
                <w:rFonts w:hint="eastAsia" w:ascii="Times New Roman" w:hAnsi="Times New Roman" w:eastAsia="宋体" w:cs="Times New Roman"/>
                <w:color w:val="auto"/>
                <w:sz w:val="21"/>
                <w:szCs w:val="21"/>
              </w:rPr>
              <w:t>22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月</w:t>
            </w:r>
          </w:p>
        </w:tc>
        <w:tc>
          <w:tcPr>
            <w:tcW w:w="1675"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开工建设时间</w:t>
            </w:r>
          </w:p>
        </w:tc>
        <w:tc>
          <w:tcPr>
            <w:tcW w:w="2899" w:type="dxa"/>
            <w:gridSpan w:val="3"/>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w:t>
            </w:r>
            <w:r>
              <w:rPr>
                <w:rFonts w:hint="eastAsia" w:ascii="Times New Roman" w:hAnsi="Times New Roman" w:eastAsia="宋体" w:cs="Times New Roman"/>
                <w:color w:val="auto"/>
                <w:sz w:val="21"/>
                <w:szCs w:val="21"/>
              </w:rPr>
              <w:t>22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25日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调试时间</w:t>
            </w:r>
          </w:p>
        </w:tc>
        <w:tc>
          <w:tcPr>
            <w:tcW w:w="2198"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w:t>
            </w: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15日</w:t>
            </w:r>
          </w:p>
        </w:tc>
        <w:tc>
          <w:tcPr>
            <w:tcW w:w="1675"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验收现场监测时间</w:t>
            </w:r>
          </w:p>
        </w:tc>
        <w:tc>
          <w:tcPr>
            <w:tcW w:w="2899" w:type="dxa"/>
            <w:gridSpan w:val="3"/>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w:t>
            </w: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月31</w:t>
            </w:r>
            <w:r>
              <w:rPr>
                <w:rFonts w:hint="eastAsia" w:ascii="Times New Roman" w:hAnsi="Times New Roman" w:eastAsia="宋体" w:cs="Times New Roman"/>
                <w:color w:val="auto"/>
                <w:sz w:val="21"/>
                <w:szCs w:val="21"/>
                <w:lang w:eastAsia="zh-Hans"/>
              </w:rPr>
              <w:t>日、</w:t>
            </w:r>
            <w:r>
              <w:rPr>
                <w:rFonts w:ascii="Times New Roman" w:hAnsi="Times New Roman" w:eastAsia="宋体" w:cs="Times New Roman"/>
                <w:color w:val="auto"/>
                <w:sz w:val="21"/>
                <w:szCs w:val="21"/>
                <w:lang w:eastAsia="zh-Hans"/>
              </w:rPr>
              <w:t>6</w:t>
            </w:r>
            <w:r>
              <w:rPr>
                <w:rFonts w:hint="eastAsia" w:ascii="Times New Roman" w:hAnsi="Times New Roman" w:eastAsia="宋体" w:cs="Times New Roman"/>
                <w:color w:val="auto"/>
                <w:sz w:val="21"/>
                <w:szCs w:val="21"/>
                <w:lang w:eastAsia="zh-Hans"/>
              </w:rPr>
              <w:t>月</w:t>
            </w:r>
            <w:r>
              <w:rPr>
                <w:rFonts w:ascii="Times New Roman" w:hAnsi="Times New Roman" w:eastAsia="宋体" w:cs="Times New Roman"/>
                <w:color w:val="auto"/>
                <w:sz w:val="21"/>
                <w:szCs w:val="21"/>
                <w:lang w:eastAsia="zh-Hans"/>
              </w:rPr>
              <w:t>1</w:t>
            </w:r>
            <w:r>
              <w:rPr>
                <w:rFonts w:hint="eastAsia" w:ascii="Times New Roman" w:hAnsi="Times New Roman" w:eastAsia="宋体" w:cs="Times New Roman"/>
                <w:color w:val="auto"/>
                <w:sz w:val="21"/>
                <w:szCs w:val="21"/>
                <w:lang w:eastAsia="zh-Hans"/>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环评报告表</w:t>
            </w:r>
          </w:p>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审批部门</w:t>
            </w:r>
          </w:p>
        </w:tc>
        <w:tc>
          <w:tcPr>
            <w:tcW w:w="2198"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北京市</w:t>
            </w:r>
            <w:r>
              <w:rPr>
                <w:rFonts w:hint="eastAsia" w:ascii="Times New Roman" w:hAnsi="Times New Roman" w:eastAsia="宋体" w:cs="Times New Roman"/>
                <w:color w:val="auto"/>
                <w:sz w:val="21"/>
                <w:szCs w:val="21"/>
              </w:rPr>
              <w:t>生态环境</w:t>
            </w:r>
            <w:r>
              <w:rPr>
                <w:rFonts w:ascii="Times New Roman" w:hAnsi="Times New Roman" w:eastAsia="宋体" w:cs="Times New Roman"/>
                <w:color w:val="auto"/>
                <w:sz w:val="21"/>
                <w:szCs w:val="21"/>
              </w:rPr>
              <w:t>局</w:t>
            </w:r>
          </w:p>
        </w:tc>
        <w:tc>
          <w:tcPr>
            <w:tcW w:w="1675"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环评报告表</w:t>
            </w:r>
          </w:p>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编制单位</w:t>
            </w:r>
          </w:p>
        </w:tc>
        <w:tc>
          <w:tcPr>
            <w:tcW w:w="2899" w:type="dxa"/>
            <w:gridSpan w:val="3"/>
            <w:vAlign w:val="center"/>
          </w:tcPr>
          <w:p>
            <w:pPr>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中冶节能环保有限责任公司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环保设施设计单位</w:t>
            </w:r>
          </w:p>
        </w:tc>
        <w:tc>
          <w:tcPr>
            <w:tcW w:w="2198" w:type="dxa"/>
            <w:vAlign w:val="center"/>
          </w:tcPr>
          <w:p>
            <w:pPr>
              <w:spacing w:after="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南通力达环保设备有限公司</w:t>
            </w:r>
            <w:r>
              <w:rPr>
                <w:rFonts w:ascii="Times New Roman" w:hAnsi="Times New Roman" w:eastAsia="宋体" w:cs="Times New Roman"/>
                <w:color w:val="auto"/>
                <w:sz w:val="21"/>
                <w:szCs w:val="21"/>
                <w:lang w:eastAsia="zh-Hans"/>
              </w:rPr>
              <w:t>/</w:t>
            </w:r>
            <w:r>
              <w:rPr>
                <w:rFonts w:hint="eastAsia" w:ascii="Times New Roman" w:hAnsi="Times New Roman" w:eastAsia="宋体" w:cs="Times New Roman"/>
                <w:color w:val="auto"/>
                <w:sz w:val="21"/>
                <w:szCs w:val="21"/>
              </w:rPr>
              <w:t>北京中兴恒远建筑工程有限公司</w:t>
            </w:r>
          </w:p>
        </w:tc>
        <w:tc>
          <w:tcPr>
            <w:tcW w:w="1675"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环保设施施工单位</w:t>
            </w:r>
          </w:p>
        </w:tc>
        <w:tc>
          <w:tcPr>
            <w:tcW w:w="2899" w:type="dxa"/>
            <w:gridSpan w:val="3"/>
            <w:vAlign w:val="center"/>
          </w:tcPr>
          <w:p>
            <w:pPr>
              <w:spacing w:after="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南通力达环保设备有限公司</w:t>
            </w:r>
            <w:r>
              <w:rPr>
                <w:rFonts w:ascii="Times New Roman" w:hAnsi="Times New Roman" w:eastAsia="宋体" w:cs="Times New Roman"/>
                <w:color w:val="auto"/>
                <w:sz w:val="21"/>
                <w:szCs w:val="21"/>
                <w:lang w:eastAsia="zh-Hans"/>
              </w:rPr>
              <w:t>/</w:t>
            </w:r>
            <w:r>
              <w:rPr>
                <w:rFonts w:hint="eastAsia" w:ascii="Times New Roman" w:hAnsi="Times New Roman" w:eastAsia="宋体" w:cs="Times New Roman"/>
                <w:color w:val="auto"/>
                <w:sz w:val="21"/>
                <w:szCs w:val="21"/>
              </w:rPr>
              <w:t>北京中兴恒远建筑工程有限公司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投资总概算</w:t>
            </w:r>
          </w:p>
        </w:tc>
        <w:tc>
          <w:tcPr>
            <w:tcW w:w="2198" w:type="dxa"/>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2745</w:t>
            </w:r>
            <w:r>
              <w:rPr>
                <w:rFonts w:ascii="Times New Roman" w:hAnsi="Times New Roman" w:eastAsia="宋体" w:cs="Times New Roman"/>
                <w:color w:val="auto"/>
                <w:sz w:val="21"/>
                <w:szCs w:val="21"/>
              </w:rPr>
              <w:t>万元</w:t>
            </w:r>
          </w:p>
        </w:tc>
        <w:tc>
          <w:tcPr>
            <w:tcW w:w="1675"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环保投资总概算</w:t>
            </w:r>
          </w:p>
        </w:tc>
        <w:tc>
          <w:tcPr>
            <w:tcW w:w="1246" w:type="dxa"/>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400</w:t>
            </w:r>
            <w:r>
              <w:rPr>
                <w:rFonts w:ascii="Times New Roman" w:hAnsi="Times New Roman" w:eastAsia="宋体" w:cs="Times New Roman"/>
                <w:color w:val="auto"/>
                <w:sz w:val="21"/>
                <w:szCs w:val="21"/>
              </w:rPr>
              <w:t>万元</w:t>
            </w:r>
          </w:p>
        </w:tc>
        <w:tc>
          <w:tcPr>
            <w:tcW w:w="727"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比例</w:t>
            </w:r>
          </w:p>
        </w:tc>
        <w:tc>
          <w:tcPr>
            <w:tcW w:w="926" w:type="dxa"/>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14.6</w:t>
            </w:r>
            <w:r>
              <w:rPr>
                <w:rFonts w:ascii="Times New Roman" w:hAnsi="Times New Roman" w:eastAsia="宋体" w:cs="Times New Roman"/>
                <w:color w:val="auto"/>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实际总概算</w:t>
            </w:r>
          </w:p>
        </w:tc>
        <w:tc>
          <w:tcPr>
            <w:tcW w:w="2198" w:type="dxa"/>
            <w:vAlign w:val="center"/>
          </w:tcPr>
          <w:p>
            <w:pPr>
              <w:spacing w:after="0"/>
              <w:jc w:val="center"/>
              <w:rPr>
                <w:rFonts w:ascii="Times New Roman" w:hAnsi="Times New Roman" w:eastAsia="宋体" w:cs="Times New Roman"/>
                <w:color w:val="auto"/>
                <w:sz w:val="21"/>
                <w:szCs w:val="21"/>
              </w:rPr>
            </w:pPr>
            <w:r>
              <w:rPr>
                <w:rFonts w:ascii="Times New Roman" w:hAnsi="Times New Roman" w:cs="Times New Roman"/>
                <w:color w:val="auto"/>
                <w:sz w:val="21"/>
                <w:szCs w:val="21"/>
              </w:rPr>
              <w:t>2352.27</w:t>
            </w:r>
            <w:r>
              <w:rPr>
                <w:rFonts w:ascii="Times New Roman" w:hAnsi="Times New Roman" w:eastAsia="宋体" w:cs="Times New Roman"/>
                <w:color w:val="auto"/>
                <w:sz w:val="21"/>
                <w:szCs w:val="21"/>
              </w:rPr>
              <w:t>万元</w:t>
            </w:r>
          </w:p>
        </w:tc>
        <w:tc>
          <w:tcPr>
            <w:tcW w:w="1675"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环保投资</w:t>
            </w:r>
          </w:p>
        </w:tc>
        <w:tc>
          <w:tcPr>
            <w:tcW w:w="1246" w:type="dxa"/>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450.72</w:t>
            </w:r>
            <w:r>
              <w:rPr>
                <w:rFonts w:ascii="Times New Roman" w:hAnsi="Times New Roman" w:eastAsia="宋体" w:cs="Times New Roman"/>
                <w:color w:val="auto"/>
                <w:sz w:val="21"/>
                <w:szCs w:val="21"/>
              </w:rPr>
              <w:t>万元</w:t>
            </w:r>
          </w:p>
        </w:tc>
        <w:tc>
          <w:tcPr>
            <w:tcW w:w="727"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比例</w:t>
            </w:r>
          </w:p>
        </w:tc>
        <w:tc>
          <w:tcPr>
            <w:tcW w:w="926" w:type="dxa"/>
            <w:vAlign w:val="center"/>
          </w:tcPr>
          <w:p>
            <w:pPr>
              <w:spacing w:after="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52" w:type="dxa"/>
            <w:vAlign w:val="center"/>
          </w:tcPr>
          <w:p>
            <w:pPr>
              <w:spacing w:after="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验收监测依据</w:t>
            </w:r>
          </w:p>
        </w:tc>
        <w:tc>
          <w:tcPr>
            <w:tcW w:w="6772" w:type="dxa"/>
            <w:gridSpan w:val="5"/>
            <w:vAlign w:val="center"/>
          </w:tcPr>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《中华人民共和国环境保护法》（2014年4月24日修订，2015年1月1日起施行）</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《中华人民共和国环境影响评价法》（2018年12月29日修订，2018年12月29日起施行）</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《中华人民共和国水污染防治法》（2017年6月27日修订，2018年1月1日起施行）</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《中华人民共和国大气污染防治法》（2018年10月26日修订，2018年10月26日起施行）</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《中华人民共和国噪声污染防治法》（20</w:t>
            </w:r>
            <w:r>
              <w:rPr>
                <w:rFonts w:hint="eastAsia" w:ascii="Times New Roman" w:hAnsi="Times New Roman" w:eastAsia="宋体" w:cs="Times New Roman"/>
                <w:color w:val="auto"/>
                <w:sz w:val="21"/>
                <w:szCs w:val="21"/>
              </w:rPr>
              <w:t>21</w:t>
            </w:r>
            <w:r>
              <w:rPr>
                <w:rFonts w:ascii="Times New Roman" w:hAnsi="Times New Roman" w:eastAsia="宋体" w:cs="Times New Roman"/>
                <w:color w:val="auto"/>
                <w:sz w:val="21"/>
                <w:szCs w:val="21"/>
              </w:rPr>
              <w:t>年12月</w:t>
            </w:r>
            <w:r>
              <w:rPr>
                <w:rFonts w:hint="eastAsia" w:ascii="Times New Roman" w:hAnsi="Times New Roman" w:eastAsia="宋体" w:cs="Times New Roman"/>
                <w:color w:val="auto"/>
                <w:sz w:val="21"/>
                <w:szCs w:val="21"/>
              </w:rPr>
              <w:t>24</w:t>
            </w:r>
            <w:r>
              <w:rPr>
                <w:rFonts w:ascii="Times New Roman" w:hAnsi="Times New Roman" w:eastAsia="宋体" w:cs="Times New Roman"/>
                <w:color w:val="auto"/>
                <w:sz w:val="21"/>
                <w:szCs w:val="21"/>
              </w:rPr>
              <w:t>日修订，2022年6月5日起施行）</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《中华人民共和国固体废物污染环境防治法》（2020年4月29日修订，2020年9月1日起施行）</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《建设项目环境保护管理条例》（国务院令682号，2017年10月1日实施）</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关于发布《建设项目竣工环境保护验收暂行办法》的公告（国环规环评[2017]4号）</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《建设项目竣工环境保护验收技术指南 污染影响类》（生态环境部办公厅2018年5月16日印发）</w:t>
            </w:r>
            <w:r>
              <w:rPr>
                <w:rFonts w:hint="eastAsia" w:ascii="Times New Roman" w:hAnsi="Times New Roman" w:eastAsia="宋体" w:cs="Times New Roman"/>
                <w:color w:val="auto"/>
                <w:sz w:val="21"/>
                <w:szCs w:val="21"/>
              </w:rPr>
              <w:t>；</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《北京福田康明斯发动机有限公司重型发动机工厂产能提升项目环境影响报告表》</w:t>
            </w:r>
            <w:r>
              <w:rPr>
                <w:rFonts w:hint="eastAsia" w:ascii="Times New Roman" w:hAnsi="Times New Roman" w:eastAsia="宋体" w:cs="Times New Roman"/>
                <w:color w:val="auto"/>
                <w:sz w:val="21"/>
                <w:szCs w:val="21"/>
              </w:rPr>
              <w:t>（2022年0</w:t>
            </w:r>
            <w:r>
              <w:rPr>
                <w:rFonts w:hint="eastAsia"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rPr>
              <w:t>月）；</w:t>
            </w:r>
          </w:p>
          <w:p>
            <w:pPr>
              <w:pStyle w:val="28"/>
              <w:numPr>
                <w:ilvl w:val="0"/>
                <w:numId w:val="1"/>
              </w:numPr>
              <w:spacing w:after="0" w:line="440" w:lineRule="exact"/>
              <w:ind w:left="0"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《关于北京福田康明斯发动机有限公司重型发动机工厂产能提升项目环境影响报告表的批复》（</w:t>
            </w:r>
            <w:r>
              <w:rPr>
                <w:rFonts w:hint="eastAsia" w:ascii="Times New Roman" w:hAnsi="Times New Roman" w:eastAsia="宋体" w:cs="Times New Roman"/>
                <w:color w:val="auto"/>
                <w:sz w:val="21"/>
                <w:szCs w:val="21"/>
              </w:rPr>
              <w:t>京环</w:t>
            </w:r>
            <w:r>
              <w:rPr>
                <w:rFonts w:ascii="Times New Roman" w:hAnsi="Times New Roman" w:eastAsia="宋体" w:cs="Times New Roman"/>
                <w:color w:val="auto"/>
                <w:sz w:val="21"/>
                <w:szCs w:val="21"/>
              </w:rPr>
              <w:t>审[20</w:t>
            </w:r>
            <w:r>
              <w:rPr>
                <w:rFonts w:hint="eastAsia" w:ascii="Times New Roman" w:hAnsi="Times New Roman" w:eastAsia="宋体" w:cs="Times New Roman"/>
                <w:color w:val="auto"/>
                <w:sz w:val="21"/>
                <w:szCs w:val="21"/>
              </w:rPr>
              <w:t>22</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 xml:space="preserve"> 65</w:t>
            </w:r>
            <w:r>
              <w:rPr>
                <w:rFonts w:ascii="Times New Roman" w:hAnsi="Times New Roman" w:eastAsia="宋体" w:cs="Times New Roman"/>
                <w:color w:val="auto"/>
                <w:sz w:val="21"/>
                <w:szCs w:val="21"/>
              </w:rPr>
              <w:t>号）</w:t>
            </w:r>
            <w:r>
              <w:rPr>
                <w:rFonts w:hint="eastAsia" w:ascii="Times New Roman" w:hAnsi="Times New Roman" w:eastAsia="宋体" w:cs="Times New Roman"/>
                <w:color w:val="auto"/>
                <w:sz w:val="21"/>
                <w:szCs w:val="21"/>
              </w:rPr>
              <w:t>（2022年4月21日）。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52" w:type="dxa"/>
            <w:vAlign w:val="center"/>
          </w:tcPr>
          <w:p>
            <w:pPr>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验收监测评价标准、标号、级别、限值</w:t>
            </w:r>
          </w:p>
        </w:tc>
        <w:tc>
          <w:tcPr>
            <w:tcW w:w="6772" w:type="dxa"/>
            <w:gridSpan w:val="5"/>
          </w:tcPr>
          <w:p>
            <w:pPr>
              <w:spacing w:after="0" w:line="360" w:lineRule="exact"/>
              <w:rPr>
                <w:rFonts w:ascii="Times New Roman" w:hAnsi="Times New Roman" w:eastAsia="黑体" w:cs="Times New Roman"/>
                <w:bCs/>
                <w:color w:val="auto"/>
                <w:sz w:val="21"/>
                <w:szCs w:val="21"/>
              </w:rPr>
            </w:pPr>
            <w:r>
              <w:rPr>
                <w:rFonts w:ascii="Times New Roman" w:hAnsi="Times New Roman" w:eastAsia="黑体" w:cs="Times New Roman"/>
                <w:bCs/>
                <w:color w:val="auto"/>
                <w:sz w:val="21"/>
                <w:szCs w:val="21"/>
              </w:rPr>
              <w:t>1.</w:t>
            </w:r>
            <w:r>
              <w:rPr>
                <w:rFonts w:hint="eastAsia" w:ascii="Times New Roman" w:hAnsi="Times New Roman" w:eastAsia="黑体" w:cs="Times New Roman"/>
                <w:bCs/>
                <w:color w:val="auto"/>
                <w:sz w:val="21"/>
                <w:szCs w:val="21"/>
              </w:rPr>
              <w:t xml:space="preserve"> </w:t>
            </w:r>
            <w:r>
              <w:rPr>
                <w:rFonts w:ascii="Times New Roman" w:hAnsi="Times New Roman" w:eastAsia="黑体" w:cs="Times New Roman"/>
                <w:bCs/>
                <w:color w:val="auto"/>
                <w:sz w:val="21"/>
                <w:szCs w:val="21"/>
              </w:rPr>
              <w:t>废气</w:t>
            </w:r>
          </w:p>
          <w:p>
            <w:pPr>
              <w:spacing w:after="0" w:line="360" w:lineRule="exact"/>
              <w:ind w:firstLine="420" w:firstLineChars="200"/>
              <w:rPr>
                <w:color w:val="auto"/>
                <w:sz w:val="21"/>
                <w:szCs w:val="21"/>
              </w:rPr>
            </w:pPr>
            <w:r>
              <w:rPr>
                <w:rFonts w:hint="eastAsia" w:ascii="Times New Roman" w:hAnsi="Times New Roman" w:eastAsia="宋体" w:cs="Times New Roman"/>
                <w:color w:val="auto"/>
                <w:sz w:val="21"/>
                <w:szCs w:val="21"/>
              </w:rPr>
              <w:t>天然气</w:t>
            </w:r>
            <w:r>
              <w:rPr>
                <w:rFonts w:ascii="Times New Roman" w:hAnsi="Times New Roman" w:eastAsia="宋体" w:cs="Times New Roman"/>
                <w:color w:val="auto"/>
                <w:sz w:val="21"/>
                <w:szCs w:val="21"/>
              </w:rPr>
              <w:t>发动机</w:t>
            </w:r>
            <w:r>
              <w:rPr>
                <w:rFonts w:hint="eastAsia" w:ascii="Times New Roman" w:hAnsi="Times New Roman" w:eastAsia="宋体" w:cs="Times New Roman"/>
                <w:color w:val="auto"/>
                <w:sz w:val="21"/>
                <w:szCs w:val="21"/>
              </w:rPr>
              <w:t>试验间外排</w:t>
            </w:r>
            <w:r>
              <w:rPr>
                <w:rFonts w:ascii="Times New Roman" w:hAnsi="Times New Roman" w:eastAsia="宋体" w:cs="Times New Roman"/>
                <w:color w:val="auto"/>
                <w:sz w:val="21"/>
                <w:szCs w:val="21"/>
              </w:rPr>
              <w:t>废气执行北京市《大气污染物综合排放标准》（DB11/501-2017）中表3生产工艺废气及其他废气大气污染物</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时段排放限值</w:t>
            </w:r>
            <w:r>
              <w:rPr>
                <w:rFonts w:hint="eastAsia" w:ascii="Times New Roman" w:hAnsi="Times New Roman" w:eastAsia="宋体" w:cs="Times New Roman"/>
                <w:color w:val="auto"/>
                <w:sz w:val="21"/>
                <w:szCs w:val="21"/>
              </w:rPr>
              <w:t>，详</w:t>
            </w:r>
            <w:r>
              <w:rPr>
                <w:rFonts w:ascii="Times New Roman" w:hAnsi="Times New Roman" w:eastAsia="宋体" w:cs="Times New Roman"/>
                <w:color w:val="auto"/>
                <w:sz w:val="21"/>
                <w:szCs w:val="21"/>
              </w:rPr>
              <w:t>见表</w:t>
            </w:r>
            <w:r>
              <w:rPr>
                <w:rFonts w:hint="eastAsia" w:ascii="Times New Roman" w:hAnsi="Times New Roman" w:eastAsia="宋体" w:cs="Times New Roman"/>
                <w:color w:val="auto"/>
                <w:sz w:val="21"/>
                <w:szCs w:val="21"/>
              </w:rPr>
              <w:t>1-1</w:t>
            </w:r>
            <w:r>
              <w:rPr>
                <w:rFonts w:ascii="Times New Roman" w:hAnsi="Times New Roman" w:eastAsia="宋体" w:cs="Times New Roman"/>
                <w:color w:val="auto"/>
                <w:sz w:val="21"/>
                <w:szCs w:val="21"/>
              </w:rPr>
              <w:t>。</w:t>
            </w:r>
          </w:p>
          <w:p>
            <w:pPr>
              <w:widowControl w:val="0"/>
              <w:adjustRightInd/>
              <w:snapToGrid/>
              <w:spacing w:after="0" w:line="0" w:lineRule="atLeast"/>
              <w:ind w:firstLine="420" w:firstLineChars="200"/>
              <w:jc w:val="center"/>
              <w:rPr>
                <w:rFonts w:ascii="Times New Roman" w:hAnsi="Times New Roman" w:eastAsia="黑体" w:cs="Times New Roman"/>
                <w:color w:val="auto"/>
                <w:kern w:val="2"/>
                <w:sz w:val="21"/>
                <w:szCs w:val="21"/>
              </w:rPr>
            </w:pPr>
          </w:p>
          <w:p>
            <w:pPr>
              <w:widowControl w:val="0"/>
              <w:adjustRightInd/>
              <w:snapToGrid/>
              <w:spacing w:after="0" w:line="0" w:lineRule="atLeast"/>
              <w:jc w:val="center"/>
              <w:rPr>
                <w:rFonts w:eastAsia="黑体"/>
                <w:color w:val="auto"/>
                <w:sz w:val="21"/>
                <w:szCs w:val="21"/>
              </w:rPr>
            </w:pPr>
            <w:r>
              <w:rPr>
                <w:rFonts w:ascii="Times New Roman" w:hAnsi="Times New Roman" w:eastAsia="黑体" w:cs="Times New Roman"/>
                <w:color w:val="auto"/>
                <w:kern w:val="2"/>
                <w:sz w:val="21"/>
                <w:szCs w:val="21"/>
              </w:rPr>
              <w:t>表</w:t>
            </w:r>
            <w:r>
              <w:rPr>
                <w:rFonts w:hint="eastAsia" w:ascii="Times New Roman" w:hAnsi="Times New Roman" w:eastAsia="黑体" w:cs="Times New Roman"/>
                <w:color w:val="auto"/>
                <w:kern w:val="2"/>
                <w:sz w:val="21"/>
                <w:szCs w:val="21"/>
              </w:rPr>
              <w:t>1</w:t>
            </w:r>
            <w:r>
              <w:rPr>
                <w:rFonts w:ascii="Times New Roman" w:hAnsi="Times New Roman" w:eastAsia="黑体" w:cs="Times New Roman"/>
                <w:color w:val="auto"/>
                <w:kern w:val="2"/>
                <w:sz w:val="21"/>
                <w:szCs w:val="21"/>
              </w:rPr>
              <w:t xml:space="preserve">-1 </w:t>
            </w:r>
            <w:r>
              <w:rPr>
                <w:rFonts w:hint="eastAsia" w:ascii="Times New Roman" w:hAnsi="Times New Roman" w:eastAsia="黑体" w:cs="Times New Roman"/>
                <w:color w:val="auto"/>
                <w:kern w:val="2"/>
                <w:sz w:val="21"/>
                <w:szCs w:val="21"/>
              </w:rPr>
              <w:t>天然气发动机</w:t>
            </w:r>
            <w:r>
              <w:rPr>
                <w:rFonts w:ascii="Times New Roman" w:hAnsi="Times New Roman" w:eastAsia="黑体" w:cs="Times New Roman"/>
                <w:color w:val="auto"/>
                <w:kern w:val="2"/>
                <w:sz w:val="21"/>
                <w:szCs w:val="21"/>
              </w:rPr>
              <w:t>热试废气排气筒排放浓度限值</w:t>
            </w:r>
          </w:p>
          <w:tbl>
            <w:tblPr>
              <w:tblStyle w:val="18"/>
              <w:tblW w:w="637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4"/>
              <w:gridCol w:w="1790"/>
              <w:gridCol w:w="1700"/>
              <w:gridCol w:w="211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06" w:hRule="atLeast"/>
                <w:jc w:val="center"/>
              </w:trPr>
              <w:tc>
                <w:tcPr>
                  <w:tcW w:w="774"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序号</w:t>
                  </w:r>
                </w:p>
              </w:tc>
              <w:tc>
                <w:tcPr>
                  <w:tcW w:w="179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污染物项目</w:t>
                  </w:r>
                </w:p>
              </w:tc>
              <w:tc>
                <w:tcPr>
                  <w:tcW w:w="170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最高允许排放浓度</w:t>
                  </w:r>
                  <w:r>
                    <w:rPr>
                      <w:rFonts w:hint="eastAsia" w:ascii="Times New Roman" w:hAnsi="Times New Roman" w:cs="Times New Roman" w:eastAsiaTheme="minorEastAsia"/>
                      <w:color w:val="auto"/>
                      <w:sz w:val="18"/>
                      <w:szCs w:val="18"/>
                    </w:rPr>
                    <w:t>（</w:t>
                  </w: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r>
                    <w:rPr>
                      <w:rFonts w:hint="eastAsia" w:ascii="Times New Roman" w:hAnsi="Times New Roman" w:cs="Times New Roman" w:eastAsiaTheme="minorEastAsia"/>
                      <w:color w:val="auto"/>
                      <w:sz w:val="18"/>
                      <w:szCs w:val="18"/>
                    </w:rPr>
                    <w:t>）</w:t>
                  </w:r>
                </w:p>
              </w:tc>
              <w:tc>
                <w:tcPr>
                  <w:tcW w:w="2115"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20m排气筒高度最高允许排放速率</w:t>
                  </w:r>
                  <w:r>
                    <w:rPr>
                      <w:rFonts w:hint="eastAsia" w:ascii="Times New Roman" w:hAnsi="Times New Roman" w:cs="Times New Roman" w:eastAsiaTheme="minorEastAsia"/>
                      <w:color w:val="auto"/>
                      <w:sz w:val="18"/>
                      <w:szCs w:val="18"/>
                    </w:rPr>
                    <w:t>（</w:t>
                  </w:r>
                  <w:r>
                    <w:rPr>
                      <w:rFonts w:ascii="Times New Roman" w:hAnsi="Times New Roman" w:cs="Times New Roman" w:eastAsiaTheme="minorEastAsia"/>
                      <w:color w:val="auto"/>
                      <w:sz w:val="18"/>
                      <w:szCs w:val="18"/>
                    </w:rPr>
                    <w:t>kg/h</w:t>
                  </w:r>
                  <w:r>
                    <w:rPr>
                      <w:rFonts w:hint="eastAsia" w:ascii="Times New Roman" w:hAnsi="Times New Roman" w:cs="Times New Roman" w:eastAsiaTheme="minorEastAsia"/>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74"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w:t>
                  </w:r>
                </w:p>
              </w:tc>
              <w:tc>
                <w:tcPr>
                  <w:tcW w:w="179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NOx</w:t>
                  </w:r>
                </w:p>
              </w:tc>
              <w:tc>
                <w:tcPr>
                  <w:tcW w:w="170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100</w:t>
                  </w:r>
                </w:p>
              </w:tc>
              <w:tc>
                <w:tcPr>
                  <w:tcW w:w="2115"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0.72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74"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2</w:t>
                  </w:r>
                </w:p>
              </w:tc>
              <w:tc>
                <w:tcPr>
                  <w:tcW w:w="179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非甲烷总烃</w:t>
                  </w:r>
                </w:p>
              </w:tc>
              <w:tc>
                <w:tcPr>
                  <w:tcW w:w="170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50</w:t>
                  </w:r>
                </w:p>
              </w:tc>
              <w:tc>
                <w:tcPr>
                  <w:tcW w:w="2115"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6.0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774"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3</w:t>
                  </w:r>
                </w:p>
              </w:tc>
              <w:tc>
                <w:tcPr>
                  <w:tcW w:w="179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其他颗粒物</w:t>
                  </w:r>
                </w:p>
              </w:tc>
              <w:tc>
                <w:tcPr>
                  <w:tcW w:w="1700"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10</w:t>
                  </w:r>
                </w:p>
              </w:tc>
              <w:tc>
                <w:tcPr>
                  <w:tcW w:w="2115"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1.3</w:t>
                  </w:r>
                </w:p>
              </w:tc>
            </w:tr>
          </w:tbl>
          <w:p>
            <w:pPr>
              <w:spacing w:after="0" w:line="400" w:lineRule="exact"/>
              <w:rPr>
                <w:rFonts w:ascii="Times New Roman" w:hAnsi="Times New Roman" w:eastAsia="宋体" w:cs="Times New Roman"/>
                <w:b/>
                <w:bCs/>
                <w:color w:val="auto"/>
                <w:sz w:val="21"/>
                <w:szCs w:val="21"/>
              </w:rPr>
            </w:pPr>
            <w:r>
              <w:rPr>
                <w:rFonts w:hint="eastAsia" w:ascii="Times New Roman" w:hAnsi="Times New Roman" w:eastAsia="黑体" w:cs="Times New Roman"/>
                <w:bCs/>
                <w:color w:val="auto"/>
                <w:sz w:val="21"/>
                <w:szCs w:val="21"/>
              </w:rPr>
              <w:t>2. 噪声</w:t>
            </w:r>
          </w:p>
          <w:p>
            <w:pPr>
              <w:spacing w:before="120" w:beforeLines="50" w:after="0" w:line="400" w:lineRule="exact"/>
              <w:ind w:firstLine="420" w:firstLineChars="200"/>
              <w:rPr>
                <w:rFonts w:ascii="Times New Roman" w:hAnsi="Times New Roman" w:eastAsia="宋体" w:cs="Times New Roman"/>
                <w:b/>
                <w:color w:val="auto"/>
                <w:sz w:val="21"/>
                <w:szCs w:val="21"/>
              </w:rPr>
            </w:pPr>
            <w:r>
              <w:rPr>
                <w:rFonts w:ascii="Times New Roman" w:hAnsi="Times New Roman" w:eastAsia="宋体" w:cs="Times New Roman"/>
                <w:color w:val="auto"/>
                <w:sz w:val="21"/>
                <w:szCs w:val="21"/>
              </w:rPr>
              <w:t>厂界噪声执行《工业企业厂界环境噪声排放标准》（GB12348-2008）3类区标准</w:t>
            </w:r>
            <w:r>
              <w:rPr>
                <w:rFonts w:hint="eastAsia" w:ascii="Times New Roman" w:hAnsi="Times New Roman" w:eastAsia="宋体" w:cs="Times New Roman"/>
                <w:color w:val="auto"/>
                <w:sz w:val="21"/>
                <w:szCs w:val="21"/>
              </w:rPr>
              <w:t>，详见表1-2。</w:t>
            </w:r>
          </w:p>
          <w:p>
            <w:pPr>
              <w:spacing w:before="120" w:beforeLines="50" w:after="0"/>
              <w:jc w:val="center"/>
              <w:rPr>
                <w:rFonts w:ascii="Times New Roman" w:hAnsi="Times New Roman" w:eastAsia="宋体" w:cs="Times New Roman"/>
                <w:b/>
                <w:color w:val="auto"/>
                <w:sz w:val="21"/>
                <w:szCs w:val="21"/>
              </w:rPr>
            </w:pPr>
            <w:r>
              <w:rPr>
                <w:rFonts w:ascii="Times New Roman" w:hAnsi="Times New Roman" w:eastAsia="黑体" w:cs="Times New Roman"/>
                <w:color w:val="auto"/>
                <w:kern w:val="2"/>
                <w:sz w:val="21"/>
                <w:szCs w:val="21"/>
              </w:rPr>
              <w:t>表</w:t>
            </w:r>
            <w:r>
              <w:rPr>
                <w:rFonts w:hint="eastAsia" w:ascii="Times New Roman" w:hAnsi="Times New Roman" w:eastAsia="黑体" w:cs="Times New Roman"/>
                <w:color w:val="auto"/>
                <w:kern w:val="2"/>
                <w:sz w:val="21"/>
                <w:szCs w:val="21"/>
              </w:rPr>
              <w:t>1-2</w:t>
            </w:r>
            <w:r>
              <w:rPr>
                <w:rFonts w:ascii="Times New Roman" w:hAnsi="Times New Roman" w:eastAsia="黑体" w:cs="Times New Roman"/>
                <w:color w:val="auto"/>
                <w:kern w:val="2"/>
                <w:sz w:val="21"/>
                <w:szCs w:val="21"/>
              </w:rPr>
              <w:t xml:space="preserve"> 厂界环境噪声排放标准</w:t>
            </w:r>
            <w:r>
              <w:rPr>
                <w:rFonts w:ascii="Times New Roman" w:hAnsi="Times New Roman" w:eastAsia="宋体" w:cs="Times New Roman"/>
                <w:color w:val="auto"/>
                <w:kern w:val="2"/>
                <w:sz w:val="21"/>
                <w:szCs w:val="21"/>
              </w:rPr>
              <w:t>（摘录）</w:t>
            </w:r>
          </w:p>
          <w:tbl>
            <w:tblPr>
              <w:tblStyle w:val="18"/>
              <w:tblW w:w="642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07"/>
              <w:gridCol w:w="1251"/>
              <w:gridCol w:w="1445"/>
              <w:gridCol w:w="1270"/>
              <w:gridCol w:w="14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1007"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类别</w:t>
                  </w:r>
                </w:p>
              </w:tc>
              <w:tc>
                <w:tcPr>
                  <w:tcW w:w="1251"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昼间</w:t>
                  </w:r>
                </w:p>
              </w:tc>
              <w:tc>
                <w:tcPr>
                  <w:tcW w:w="1445"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夜间</w:t>
                  </w:r>
                </w:p>
              </w:tc>
              <w:tc>
                <w:tcPr>
                  <w:tcW w:w="1270"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适用区域</w:t>
                  </w:r>
                </w:p>
              </w:tc>
              <w:tc>
                <w:tcPr>
                  <w:tcW w:w="1449"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7" w:hRule="atLeast"/>
                <w:jc w:val="center"/>
              </w:trPr>
              <w:tc>
                <w:tcPr>
                  <w:tcW w:w="1007"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3类</w:t>
                  </w:r>
                </w:p>
              </w:tc>
              <w:tc>
                <w:tcPr>
                  <w:tcW w:w="1251"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65</w:t>
                  </w:r>
                </w:p>
              </w:tc>
              <w:tc>
                <w:tcPr>
                  <w:tcW w:w="1445"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55</w:t>
                  </w:r>
                </w:p>
              </w:tc>
              <w:tc>
                <w:tcPr>
                  <w:tcW w:w="1270"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工业区</w:t>
                  </w:r>
                </w:p>
              </w:tc>
              <w:tc>
                <w:tcPr>
                  <w:tcW w:w="1449" w:type="dxa"/>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dB（A）</w:t>
                  </w:r>
                </w:p>
              </w:tc>
            </w:tr>
          </w:tbl>
          <w:p>
            <w:pPr>
              <w:spacing w:after="0" w:line="500" w:lineRule="exact"/>
              <w:rPr>
                <w:rFonts w:ascii="Times New Roman" w:hAnsi="Times New Roman" w:eastAsia="宋体" w:cs="Times New Roman"/>
                <w:b/>
                <w:bCs/>
                <w:color w:val="auto"/>
                <w:sz w:val="21"/>
                <w:szCs w:val="21"/>
              </w:rPr>
            </w:pPr>
            <w:r>
              <w:rPr>
                <w:rFonts w:hint="eastAsia" w:ascii="Times New Roman" w:hAnsi="Times New Roman" w:eastAsia="黑体" w:cs="Times New Roman"/>
                <w:bCs/>
                <w:color w:val="auto"/>
                <w:sz w:val="21"/>
                <w:szCs w:val="21"/>
              </w:rPr>
              <w:t xml:space="preserve">3. </w:t>
            </w:r>
            <w:r>
              <w:rPr>
                <w:rFonts w:ascii="Times New Roman" w:hAnsi="Times New Roman" w:eastAsia="黑体" w:cs="Times New Roman"/>
                <w:bCs/>
                <w:color w:val="auto"/>
                <w:sz w:val="21"/>
                <w:szCs w:val="21"/>
              </w:rPr>
              <w:t>固体废物</w:t>
            </w:r>
          </w:p>
          <w:p>
            <w:pPr>
              <w:spacing w:before="120" w:beforeLines="50" w:after="0" w:line="40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危险固体废物执行《危险废物贮存污染控制标准》（GB18597-2001）及其修改单（环境保护部公告2013年第36号）、《危险废物转移联单管理办法》中的有关规定；一般固体废物执行《一般工业固体废物贮存和填埋污染控制标准》（GB18599-2020）中第</w:t>
            </w:r>
            <w:r>
              <w:rPr>
                <w:rFonts w:hint="eastAsia" w:ascii="Times New Roman" w:hAnsi="Times New Roman" w:eastAsia="宋体" w:cs="Times New Roman"/>
                <w:color w:val="auto"/>
                <w:sz w:val="21"/>
                <w:szCs w:val="21"/>
              </w:rPr>
              <w:t>Ⅰ</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类一般工业固体废物的贮存和填埋污染控制标准；生活垃圾执行《北京市生活垃圾管理</w:t>
            </w:r>
            <w:r>
              <w:rPr>
                <w:rFonts w:hint="eastAsia" w:ascii="Times New Roman" w:hAnsi="Times New Roman" w:eastAsia="宋体" w:cs="Times New Roman"/>
                <w:color w:val="auto"/>
                <w:sz w:val="21"/>
                <w:szCs w:val="21"/>
                <w:lang w:val="en-US" w:eastAsia="zh-CN"/>
              </w:rPr>
              <w:t>条例</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2019年11月27日修改，2020年5月1日施行</w:t>
            </w:r>
            <w:r>
              <w:rPr>
                <w:rFonts w:ascii="Times New Roman" w:hAnsi="Times New Roman" w:eastAsia="宋体" w:cs="Times New Roman"/>
                <w:color w:val="auto"/>
                <w:sz w:val="21"/>
                <w:szCs w:val="21"/>
              </w:rPr>
              <w:t>）。</w:t>
            </w:r>
          </w:p>
        </w:tc>
      </w:tr>
    </w:tbl>
    <w:p>
      <w:pPr>
        <w:spacing w:after="0" w:line="360" w:lineRule="auto"/>
        <w:outlineLvl w:val="0"/>
        <w:rPr>
          <w:rFonts w:eastAsia="仿宋_GB2312"/>
          <w:b/>
          <w:color w:val="auto"/>
          <w:sz w:val="21"/>
          <w:szCs w:val="21"/>
        </w:rPr>
      </w:pPr>
      <w:r>
        <w:rPr>
          <w:rFonts w:eastAsia="仿宋_GB2312"/>
          <w:color w:val="auto"/>
          <w:sz w:val="21"/>
          <w:szCs w:val="21"/>
        </w:rPr>
        <w:br w:type="page"/>
      </w:r>
      <w:r>
        <w:rPr>
          <w:rFonts w:eastAsia="仿宋_GB2312"/>
          <w:b/>
          <w:color w:val="auto"/>
          <w:sz w:val="21"/>
          <w:szCs w:val="21"/>
        </w:rPr>
        <w:t>表二</w:t>
      </w:r>
    </w:p>
    <w:tbl>
      <w:tblPr>
        <w:tblStyle w:val="18"/>
        <w:tblW w:w="90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65" w:hRule="atLeast"/>
          <w:jc w:val="center"/>
        </w:trPr>
        <w:tc>
          <w:tcPr>
            <w:tcW w:w="9008" w:type="dxa"/>
          </w:tcPr>
          <w:p>
            <w:pPr>
              <w:spacing w:before="48" w:beforeLines="20" w:after="0"/>
              <w:outlineLvl w:val="0"/>
              <w:rPr>
                <w:rFonts w:ascii="宋体" w:hAnsi="宋体" w:eastAsia="宋体"/>
                <w:color w:val="auto"/>
                <w:sz w:val="21"/>
                <w:szCs w:val="21"/>
              </w:rPr>
            </w:pPr>
            <w:r>
              <w:rPr>
                <w:rFonts w:hint="eastAsia" w:ascii="宋体" w:hAnsi="宋体" w:eastAsia="宋体"/>
                <w:color w:val="auto"/>
                <w:sz w:val="21"/>
                <w:szCs w:val="21"/>
              </w:rPr>
              <w:t>工程建设内容：</w:t>
            </w:r>
            <w:r>
              <w:rPr>
                <w:rFonts w:ascii="宋体" w:hAnsi="宋体" w:eastAsia="宋体"/>
                <w:color w:val="auto"/>
                <w:sz w:val="21"/>
                <w:szCs w:val="21"/>
              </w:rPr>
              <w:t xml:space="preserve"> </w:t>
            </w:r>
          </w:p>
          <w:p>
            <w:pPr>
              <w:spacing w:after="0" w:line="4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本项目属于</w:t>
            </w:r>
            <w:r>
              <w:rPr>
                <w:rFonts w:ascii="Times New Roman" w:hAnsi="Times New Roman" w:eastAsia="宋体" w:cs="Times New Roman"/>
                <w:color w:val="auto"/>
                <w:sz w:val="21"/>
                <w:szCs w:val="21"/>
              </w:rPr>
              <w:t>北京福田康明斯发动机有限公司重型发动机工厂产能提升项目</w:t>
            </w:r>
            <w:r>
              <w:rPr>
                <w:rFonts w:hint="eastAsia" w:ascii="Times New Roman" w:hAnsi="Times New Roman" w:eastAsia="宋体" w:cs="Times New Roman"/>
                <w:color w:val="auto"/>
                <w:sz w:val="21"/>
                <w:szCs w:val="21"/>
              </w:rPr>
              <w:t>的一部分建设内容，该提升项目于2022年4月21日</w:t>
            </w:r>
            <w:r>
              <w:rPr>
                <w:rFonts w:hint="eastAsia" w:ascii="Times New Roman" w:hAnsi="Times New Roman" w:eastAsia="宋体" w:cs="Times New Roman"/>
                <w:color w:val="auto"/>
                <w:sz w:val="21"/>
                <w:szCs w:val="21"/>
                <w:lang w:val="en-US" w:eastAsia="zh-CN"/>
              </w:rPr>
              <w:t>由</w:t>
            </w:r>
            <w:r>
              <w:rPr>
                <w:rFonts w:hint="eastAsia" w:ascii="Times New Roman" w:hAnsi="Times New Roman" w:eastAsia="宋体" w:cs="Times New Roman"/>
                <w:color w:val="auto"/>
                <w:sz w:val="21"/>
                <w:szCs w:val="21"/>
              </w:rPr>
              <w:t>北京市生态环境局以“京环审[2022]65号”文进行行政许可批复，产能提升项目主要建设内容：本次项目包括扩建工程以及工艺及配套环保措施的技术改造工程。其中扩建工程位于X工厂内实施，工艺提升和环保措施技改工程在F工厂和X工厂实施。扩建工程在X工厂内实施，并配套其东侧新建天然气发动机试验间。</w:t>
            </w:r>
          </w:p>
          <w:p>
            <w:pPr>
              <w:spacing w:after="0" w:line="460" w:lineRule="exact"/>
              <w:ind w:firstLine="420" w:firstLineChars="200"/>
              <w:rPr>
                <w:color w:val="auto"/>
                <w:sz w:val="21"/>
                <w:szCs w:val="21"/>
              </w:rPr>
            </w:pPr>
            <w:r>
              <w:rPr>
                <w:rFonts w:ascii="Times New Roman" w:hAnsi="Times New Roman" w:eastAsia="宋体" w:cs="Times New Roman"/>
                <w:color w:val="auto"/>
                <w:sz w:val="21"/>
                <w:szCs w:val="21"/>
              </w:rPr>
              <w:t>北京福田康明斯发动机有限公司</w:t>
            </w:r>
            <w:r>
              <w:rPr>
                <w:rFonts w:hint="eastAsia" w:ascii="Times New Roman" w:hAnsi="Times New Roman" w:eastAsia="宋体" w:cs="Times New Roman"/>
                <w:color w:val="auto"/>
                <w:sz w:val="21"/>
                <w:szCs w:val="21"/>
              </w:rPr>
              <w:t>天然气台架试验间项目</w:t>
            </w:r>
            <w:r>
              <w:rPr>
                <w:rFonts w:hint="eastAsia" w:ascii="Times New Roman" w:hAnsi="Times New Roman" w:eastAsia="宋体" w:cs="Times New Roman"/>
                <w:color w:val="auto"/>
                <w:sz w:val="21"/>
                <w:szCs w:val="21"/>
                <w:lang w:val="en-US" w:eastAsia="zh-CN"/>
              </w:rPr>
              <w:t>依托已有建筑，</w:t>
            </w:r>
            <w:r>
              <w:rPr>
                <w:rFonts w:hint="eastAsia" w:ascii="Times New Roman" w:hAnsi="Times New Roman" w:eastAsia="宋体" w:cs="Times New Roman"/>
                <w:color w:val="auto"/>
                <w:sz w:val="21"/>
                <w:szCs w:val="21"/>
                <w:lang w:eastAsia="zh-Hans"/>
              </w:rPr>
              <w:t>于</w:t>
            </w:r>
            <w:r>
              <w:rPr>
                <w:rFonts w:ascii="Times New Roman" w:hAnsi="Times New Roman" w:eastAsia="宋体" w:cs="Times New Roman"/>
                <w:color w:val="auto"/>
                <w:sz w:val="21"/>
                <w:szCs w:val="21"/>
              </w:rPr>
              <w:t>202</w:t>
            </w: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15日</w:t>
            </w:r>
            <w:r>
              <w:rPr>
                <w:rFonts w:hint="eastAsia" w:ascii="Times New Roman" w:hAnsi="Times New Roman" w:eastAsia="宋体" w:cs="Times New Roman"/>
                <w:color w:val="auto"/>
                <w:sz w:val="21"/>
                <w:szCs w:val="21"/>
                <w:lang w:eastAsia="zh-Hans"/>
              </w:rPr>
              <w:t>建成并投入试运行，具备了天然气发动机测试条件，配套的废气处理设施正常运行，故</w:t>
            </w:r>
            <w:r>
              <w:rPr>
                <w:rFonts w:hint="eastAsia" w:ascii="Times New Roman" w:hAnsi="Times New Roman" w:eastAsia="宋体" w:cs="Times New Roman"/>
                <w:color w:val="auto"/>
                <w:sz w:val="21"/>
                <w:szCs w:val="21"/>
              </w:rPr>
              <w:t>具备验收条件，</w:t>
            </w:r>
            <w:r>
              <w:rPr>
                <w:rFonts w:hint="eastAsia" w:ascii="Times New Roman" w:hAnsi="Times New Roman" w:eastAsia="宋体" w:cs="Times New Roman"/>
                <w:color w:val="auto"/>
                <w:sz w:val="21"/>
                <w:szCs w:val="21"/>
                <w:lang w:eastAsia="zh-Hans"/>
              </w:rPr>
              <w:t>整体</w:t>
            </w:r>
            <w:r>
              <w:rPr>
                <w:rFonts w:hint="eastAsia" w:ascii="Times New Roman" w:hAnsi="Times New Roman" w:eastAsia="宋体" w:cs="Times New Roman"/>
                <w:color w:val="auto"/>
                <w:sz w:val="21"/>
                <w:szCs w:val="21"/>
              </w:rPr>
              <w:t>工程</w:t>
            </w:r>
            <w:r>
              <w:rPr>
                <w:rFonts w:hint="eastAsia" w:ascii="Times New Roman" w:hAnsi="Times New Roman" w:eastAsia="宋体" w:cs="Times New Roman"/>
                <w:color w:val="auto"/>
                <w:sz w:val="21"/>
                <w:szCs w:val="21"/>
                <w:lang w:eastAsia="zh-Hans"/>
              </w:rPr>
              <w:t>中的</w:t>
            </w:r>
            <w:r>
              <w:rPr>
                <w:rFonts w:hint="eastAsia" w:ascii="Times New Roman" w:hAnsi="Times New Roman" w:eastAsia="宋体" w:cs="Times New Roman"/>
                <w:color w:val="auto"/>
                <w:sz w:val="21"/>
                <w:szCs w:val="21"/>
              </w:rPr>
              <w:t>其他内容正在建设中，</w:t>
            </w:r>
            <w:r>
              <w:rPr>
                <w:rFonts w:hint="eastAsia" w:ascii="Times New Roman" w:hAnsi="Times New Roman" w:eastAsia="宋体" w:cs="Times New Roman"/>
                <w:color w:val="auto"/>
                <w:sz w:val="21"/>
                <w:szCs w:val="21"/>
                <w:lang w:val="en-US" w:eastAsia="zh-CN"/>
              </w:rPr>
              <w:t>由于涉及到工艺提升，工期较长，</w:t>
            </w:r>
            <w:r>
              <w:rPr>
                <w:rFonts w:hint="eastAsia" w:ascii="Times New Roman" w:hAnsi="Times New Roman" w:eastAsia="宋体" w:cs="Times New Roman"/>
                <w:color w:val="auto"/>
                <w:sz w:val="21"/>
                <w:szCs w:val="21"/>
                <w:lang w:eastAsia="zh-Hans"/>
              </w:rPr>
              <w:t>因此</w:t>
            </w:r>
            <w:r>
              <w:rPr>
                <w:rFonts w:hint="eastAsia" w:ascii="Times New Roman" w:hAnsi="Times New Roman" w:eastAsia="宋体" w:cs="Times New Roman"/>
                <w:color w:val="auto"/>
                <w:sz w:val="21"/>
                <w:szCs w:val="21"/>
              </w:rPr>
              <w:t>需要将本次批复项目作为分期验收项目，前期将具备验收条件的天然气试验间进行验收，待</w:t>
            </w:r>
            <w:r>
              <w:rPr>
                <w:rFonts w:hint="eastAsia" w:ascii="Times New Roman" w:hAnsi="Times New Roman" w:eastAsia="宋体" w:cs="Times New Roman"/>
                <w:color w:val="auto"/>
                <w:sz w:val="21"/>
                <w:szCs w:val="21"/>
                <w:lang w:eastAsia="zh-Hans"/>
              </w:rPr>
              <w:t>工程</w:t>
            </w:r>
            <w:r>
              <w:rPr>
                <w:rFonts w:hint="eastAsia" w:ascii="Times New Roman" w:hAnsi="Times New Roman" w:eastAsia="宋体" w:cs="Times New Roman"/>
                <w:color w:val="auto"/>
                <w:sz w:val="21"/>
                <w:szCs w:val="21"/>
              </w:rPr>
              <w:t>其他建设内容建成后，具备验收条件另行验收。</w:t>
            </w:r>
            <w:r>
              <w:rPr>
                <w:rFonts w:ascii="Times New Roman" w:hAnsi="Times New Roman" w:eastAsia="宋体" w:cs="Times New Roman"/>
                <w:color w:val="auto"/>
                <w:sz w:val="21"/>
                <w:szCs w:val="21"/>
              </w:rPr>
              <w:t>依据《建设项目竣工环境保护验收暂行办法》</w:t>
            </w:r>
            <w:r>
              <w:rPr>
                <w:rFonts w:hint="eastAsia" w:ascii="Times New Roman" w:hAnsi="Times New Roman" w:eastAsia="宋体" w:cs="Times New Roman"/>
                <w:color w:val="auto"/>
                <w:sz w:val="21"/>
                <w:szCs w:val="21"/>
              </w:rPr>
              <w:t>，为此建设单位</w:t>
            </w:r>
            <w:r>
              <w:rPr>
                <w:rFonts w:ascii="Times New Roman" w:hAnsi="Times New Roman" w:eastAsia="宋体" w:cs="Times New Roman"/>
                <w:color w:val="auto"/>
                <w:sz w:val="21"/>
                <w:szCs w:val="21"/>
              </w:rPr>
              <w:t>组织</w:t>
            </w:r>
            <w:r>
              <w:rPr>
                <w:rFonts w:hint="eastAsia" w:ascii="Times New Roman" w:hAnsi="Times New Roman" w:eastAsia="宋体" w:cs="Times New Roman"/>
                <w:color w:val="auto"/>
                <w:sz w:val="21"/>
                <w:szCs w:val="21"/>
              </w:rPr>
              <w:t>了该</w:t>
            </w:r>
            <w:r>
              <w:rPr>
                <w:rFonts w:ascii="Times New Roman" w:hAnsi="Times New Roman" w:eastAsia="宋体" w:cs="Times New Roman"/>
                <w:color w:val="auto"/>
                <w:sz w:val="21"/>
                <w:szCs w:val="21"/>
              </w:rPr>
              <w:t>项目竣工环境保护自主验收</w:t>
            </w:r>
            <w:r>
              <w:rPr>
                <w:rFonts w:hint="eastAsia" w:ascii="Times New Roman" w:hAnsi="Times New Roman" w:eastAsia="宋体" w:cs="Times New Roman"/>
                <w:color w:val="auto"/>
                <w:sz w:val="21"/>
                <w:szCs w:val="21"/>
              </w:rPr>
              <w:t>工作，</w:t>
            </w:r>
            <w:r>
              <w:rPr>
                <w:rFonts w:ascii="Times New Roman" w:hAnsi="Times New Roman" w:eastAsia="宋体" w:cs="Times New Roman"/>
                <w:color w:val="auto"/>
                <w:sz w:val="21"/>
                <w:szCs w:val="21"/>
              </w:rPr>
              <w:t>为认真履行企业主体责任，自愿依法提供本项目环境影响评价报告表、审批部门审批意见和监测单位对项目竣工环保验收监测报告等相关资料，保证企业自查表所列项目真实有效，并自愿承担因提供虚假信息带来的一切后果。</w:t>
            </w:r>
          </w:p>
          <w:p>
            <w:pPr>
              <w:spacing w:after="0" w:line="520" w:lineRule="exact"/>
              <w:outlineLvl w:val="0"/>
              <w:rPr>
                <w:rFonts w:ascii="Times New Roman" w:hAnsi="Times New Roman" w:eastAsia="宋体" w:cs="Times New Roman"/>
                <w:color w:val="auto"/>
                <w:sz w:val="21"/>
                <w:szCs w:val="21"/>
              </w:rPr>
            </w:pPr>
            <w:r>
              <w:rPr>
                <w:rFonts w:hint="eastAsia" w:ascii="Times New Roman" w:hAnsi="Times New Roman" w:eastAsia="黑体" w:cs="Times New Roman"/>
                <w:bCs/>
                <w:color w:val="auto"/>
                <w:sz w:val="21"/>
                <w:szCs w:val="21"/>
              </w:rPr>
              <w:t>1. 地理位置及平面布置</w:t>
            </w:r>
          </w:p>
          <w:p>
            <w:pPr>
              <w:spacing w:after="0" w:line="52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北京福田康明斯发动机有限公司</w:t>
            </w:r>
            <w:r>
              <w:rPr>
                <w:rFonts w:ascii="Times New Roman" w:hAnsi="Times New Roman" w:eastAsia="宋体" w:cs="Times New Roman"/>
                <w:color w:val="auto"/>
                <w:sz w:val="21"/>
                <w:szCs w:val="21"/>
              </w:rPr>
              <w:t>位于</w:t>
            </w:r>
            <w:r>
              <w:rPr>
                <w:rFonts w:hint="eastAsia" w:ascii="Times New Roman" w:hAnsi="Times New Roman" w:eastAsia="宋体" w:cs="Times New Roman"/>
                <w:color w:val="auto"/>
                <w:sz w:val="21"/>
                <w:szCs w:val="21"/>
              </w:rPr>
              <w:t>北京市昌平区沙河镇沙阳路15-1号。</w:t>
            </w:r>
            <w:r>
              <w:rPr>
                <w:rFonts w:ascii="Times New Roman" w:hAnsi="Times New Roman" w:eastAsia="宋体" w:cs="Times New Roman"/>
                <w:color w:val="auto"/>
                <w:sz w:val="21"/>
                <w:szCs w:val="21"/>
              </w:rPr>
              <w:t>厂区南侧隔福田中街为北汽福田汽车股份有限公司，西侧隔福田西路为绿地，西南角为海淀上郡回迁安置房（尚未入住），与康明斯厂界距离约205m；北侧为福鑫金属加工有限公司、鑫浩华宇钢铁以及商贸公司仓库等一些加工企业及仓库；东侧隔福田东路为福田公司用地（空地）。</w:t>
            </w:r>
          </w:p>
          <w:p>
            <w:pPr>
              <w:spacing w:after="0" w:line="520" w:lineRule="exact"/>
              <w:ind w:firstLine="420" w:firstLineChars="200"/>
              <w:rPr>
                <w:color w:val="auto"/>
                <w:sz w:val="21"/>
                <w:szCs w:val="21"/>
              </w:rPr>
            </w:pPr>
            <w:r>
              <w:rPr>
                <w:rFonts w:hint="eastAsia" w:ascii="Times New Roman" w:hAnsi="Times New Roman" w:eastAsia="宋体" w:cs="Times New Roman"/>
                <w:color w:val="auto"/>
                <w:sz w:val="21"/>
                <w:szCs w:val="21"/>
              </w:rPr>
              <w:t>北京福田康明斯</w:t>
            </w:r>
            <w:r>
              <w:rPr>
                <w:rFonts w:ascii="Times New Roman" w:hAnsi="Times New Roman" w:eastAsia="宋体" w:cs="Times New Roman"/>
                <w:color w:val="auto"/>
                <w:sz w:val="21"/>
                <w:szCs w:val="21"/>
              </w:rPr>
              <w:t>地理位置图</w:t>
            </w:r>
            <w:r>
              <w:rPr>
                <w:rFonts w:hint="eastAsia" w:ascii="Times New Roman" w:hAnsi="Times New Roman" w:eastAsia="宋体" w:cs="Times New Roman"/>
                <w:color w:val="auto"/>
                <w:sz w:val="21"/>
                <w:szCs w:val="21"/>
              </w:rPr>
              <w:t>、本次验收内容在福田康明斯厂区的相对位置分别详</w:t>
            </w:r>
            <w:r>
              <w:rPr>
                <w:rFonts w:ascii="Times New Roman" w:hAnsi="Times New Roman" w:eastAsia="宋体" w:cs="Times New Roman"/>
                <w:color w:val="auto"/>
                <w:sz w:val="21"/>
                <w:szCs w:val="21"/>
              </w:rPr>
              <w:t>见图</w:t>
            </w: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-1</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图</w:t>
            </w: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-2</w:t>
            </w:r>
            <w:r>
              <w:rPr>
                <w:rFonts w:hint="eastAsia" w:ascii="Times New Roman" w:hAnsi="Times New Roman" w:eastAsia="宋体" w:cs="Times New Roman"/>
                <w:color w:val="auto"/>
                <w:sz w:val="21"/>
                <w:szCs w:val="21"/>
              </w:rPr>
              <w:t>，平面布置详见图2-3</w:t>
            </w:r>
            <w:r>
              <w:rPr>
                <w:rFonts w:ascii="Times New Roman" w:hAnsi="Times New Roman" w:eastAsia="宋体" w:cs="Times New Roman"/>
                <w:color w:val="auto"/>
                <w:sz w:val="21"/>
                <w:szCs w:val="21"/>
              </w:rPr>
              <w:t>。</w:t>
            </w:r>
          </w:p>
          <w:p>
            <w:pPr>
              <w:spacing w:after="0" w:line="520" w:lineRule="exact"/>
              <w:rPr>
                <w:rFonts w:ascii="Times New Roman" w:hAnsi="Times New Roman" w:eastAsia="宋体" w:cs="Times New Roman"/>
                <w:color w:val="auto"/>
                <w:sz w:val="21"/>
                <w:szCs w:val="21"/>
              </w:rPr>
            </w:pPr>
            <w:r>
              <w:rPr>
                <w:rFonts w:hint="eastAsia" w:ascii="Times New Roman" w:hAnsi="Times New Roman" w:eastAsia="黑体" w:cs="Times New Roman"/>
                <w:bCs/>
                <w:color w:val="auto"/>
                <w:sz w:val="21"/>
                <w:szCs w:val="21"/>
              </w:rPr>
              <w:t>2. 建设内容</w:t>
            </w:r>
          </w:p>
          <w:p>
            <w:pPr>
              <w:spacing w:after="0" w:line="520" w:lineRule="exact"/>
              <w:ind w:firstLine="420" w:firstLineChars="200"/>
              <w:rPr>
                <w:rFonts w:ascii="Times New Roman" w:hAnsi="Times New Roman" w:eastAsia="宋体" w:cs="Times New Roman"/>
                <w:bCs/>
                <w:color w:val="auto"/>
                <w:sz w:val="21"/>
                <w:szCs w:val="21"/>
              </w:rPr>
            </w:pPr>
            <w:r>
              <w:rPr>
                <w:rFonts w:hint="eastAsia" w:ascii="Times New Roman" w:hAnsi="Times New Roman" w:eastAsia="宋体" w:cs="Times New Roman"/>
                <w:color w:val="auto"/>
                <w:sz w:val="21"/>
                <w:szCs w:val="21"/>
              </w:rPr>
              <w:t>本次验收内容为</w:t>
            </w:r>
            <w:r>
              <w:rPr>
                <w:rFonts w:hint="eastAsia" w:ascii="Times New Roman" w:hAnsi="Times New Roman" w:eastAsia="宋体" w:cs="Times New Roman"/>
                <w:color w:val="auto"/>
                <w:sz w:val="21"/>
                <w:szCs w:val="21"/>
                <w:lang w:eastAsia="zh-Hans"/>
              </w:rPr>
              <w:t>新建</w:t>
            </w:r>
            <w:r>
              <w:rPr>
                <w:rFonts w:hint="eastAsia" w:ascii="Times New Roman" w:hAnsi="Times New Roman" w:eastAsia="宋体" w:cs="Times New Roman"/>
                <w:bCs/>
                <w:color w:val="auto"/>
                <w:sz w:val="21"/>
                <w:szCs w:val="21"/>
              </w:rPr>
              <w:t>天然气</w:t>
            </w:r>
            <w:r>
              <w:rPr>
                <w:rFonts w:hint="eastAsia" w:ascii="Times New Roman" w:hAnsi="Times New Roman" w:eastAsia="宋体" w:cs="Times New Roman"/>
                <w:bCs/>
                <w:color w:val="auto"/>
                <w:sz w:val="21"/>
                <w:szCs w:val="21"/>
                <w:lang w:eastAsia="zh-Hans"/>
              </w:rPr>
              <w:t>试车台架</w:t>
            </w:r>
            <w:r>
              <w:rPr>
                <w:rFonts w:hint="eastAsia" w:ascii="Times New Roman" w:hAnsi="Times New Roman" w:eastAsia="宋体" w:cs="Times New Roman"/>
                <w:bCs/>
                <w:color w:val="auto"/>
                <w:sz w:val="21"/>
                <w:szCs w:val="21"/>
                <w:lang w:val="en-US" w:eastAsia="zh-CN"/>
              </w:rPr>
              <w:t>试验间</w:t>
            </w:r>
            <w:r>
              <w:rPr>
                <w:rFonts w:hint="eastAsia" w:ascii="Times New Roman" w:hAnsi="Times New Roman" w:eastAsia="宋体" w:cs="Times New Roman"/>
                <w:bCs/>
                <w:color w:val="auto"/>
                <w:sz w:val="21"/>
                <w:szCs w:val="21"/>
                <w:lang w:eastAsia="zh-Hans"/>
              </w:rPr>
              <w:t>，利用厂区</w:t>
            </w:r>
            <w:r>
              <w:rPr>
                <w:rFonts w:hint="eastAsia" w:ascii="Times New Roman" w:hAnsi="Times New Roman" w:eastAsia="宋体" w:cs="Times New Roman"/>
                <w:bCs/>
                <w:color w:val="auto"/>
                <w:sz w:val="21"/>
                <w:szCs w:val="21"/>
                <w:lang w:val="en-US" w:eastAsia="zh-CN"/>
              </w:rPr>
              <w:t>已有</w:t>
            </w:r>
            <w:r>
              <w:rPr>
                <w:rFonts w:hint="eastAsia" w:ascii="Times New Roman" w:hAnsi="Times New Roman" w:eastAsia="宋体" w:cs="Times New Roman"/>
                <w:bCs/>
                <w:color w:val="auto"/>
                <w:sz w:val="21"/>
                <w:szCs w:val="21"/>
                <w:lang w:eastAsia="zh-Hans"/>
              </w:rPr>
              <w:t>建筑</w:t>
            </w:r>
            <w:r>
              <w:rPr>
                <w:rFonts w:hint="eastAsia" w:ascii="Times New Roman" w:hAnsi="Times New Roman" w:eastAsia="宋体" w:cs="Times New Roman"/>
                <w:bCs/>
                <w:color w:val="auto"/>
                <w:sz w:val="21"/>
                <w:szCs w:val="21"/>
              </w:rPr>
              <w:t>，</w:t>
            </w:r>
            <w:r>
              <w:rPr>
                <w:rFonts w:hint="eastAsia" w:ascii="Times New Roman" w:hAnsi="Times New Roman" w:eastAsia="宋体" w:cs="Times New Roman"/>
                <w:color w:val="auto"/>
                <w:sz w:val="21"/>
                <w:szCs w:val="21"/>
              </w:rPr>
              <w:t>建筑面积407m</w:t>
            </w:r>
            <w:r>
              <w:rPr>
                <w:rFonts w:hint="eastAsia" w:ascii="Times New Roman" w:hAnsi="Times New Roman" w:eastAsia="宋体" w:cs="Times New Roman"/>
                <w:color w:val="auto"/>
                <w:sz w:val="21"/>
                <w:szCs w:val="21"/>
                <w:vertAlign w:val="superscript"/>
              </w:rPr>
              <w:t>2</w:t>
            </w:r>
            <w:r>
              <w:rPr>
                <w:rFonts w:hint="eastAsia" w:ascii="Times New Roman" w:hAnsi="Times New Roman" w:eastAsia="宋体" w:cs="Times New Roman"/>
                <w:color w:val="auto"/>
                <w:sz w:val="21"/>
                <w:szCs w:val="21"/>
                <w:lang w:eastAsia="zh-Hans"/>
              </w:rPr>
              <w:t>，设置</w:t>
            </w:r>
            <w:r>
              <w:rPr>
                <w:rFonts w:ascii="Times New Roman" w:hAnsi="Times New Roman" w:eastAsia="宋体" w:cs="Times New Roman"/>
                <w:color w:val="auto"/>
                <w:sz w:val="21"/>
                <w:szCs w:val="21"/>
                <w:lang w:eastAsia="zh-Hans"/>
              </w:rPr>
              <w:t>2</w:t>
            </w:r>
            <w:r>
              <w:rPr>
                <w:rFonts w:hint="eastAsia" w:ascii="Times New Roman" w:hAnsi="Times New Roman" w:eastAsia="宋体" w:cs="Times New Roman"/>
                <w:color w:val="auto"/>
                <w:sz w:val="21"/>
                <w:szCs w:val="21"/>
                <w:lang w:eastAsia="zh-Hans"/>
              </w:rPr>
              <w:t>台测试台架，配套发动机测试</w:t>
            </w:r>
            <w:r>
              <w:rPr>
                <w:rFonts w:hint="eastAsia" w:ascii="Times New Roman" w:hAnsi="Times New Roman" w:eastAsia="宋体" w:cs="Times New Roman"/>
                <w:color w:val="auto"/>
                <w:sz w:val="21"/>
                <w:szCs w:val="21"/>
              </w:rPr>
              <w:t>尾气净化装置（包括DOC+POC +SCR模块）</w:t>
            </w:r>
            <w:r>
              <w:rPr>
                <w:rFonts w:hint="eastAsia" w:ascii="Times New Roman" w:hAnsi="Times New Roman" w:eastAsia="宋体" w:cs="Times New Roman"/>
                <w:color w:val="auto"/>
                <w:sz w:val="21"/>
                <w:szCs w:val="21"/>
                <w:lang w:eastAsia="zh-Hans"/>
              </w:rPr>
              <w:t>，对</w:t>
            </w:r>
            <w:r>
              <w:rPr>
                <w:rFonts w:hint="eastAsia" w:ascii="Times New Roman" w:hAnsi="Times New Roman" w:eastAsia="宋体" w:cs="Times New Roman"/>
                <w:bCs/>
                <w:color w:val="auto"/>
                <w:sz w:val="21"/>
                <w:szCs w:val="21"/>
              </w:rPr>
              <w:t>发</w:t>
            </w:r>
            <w:r>
              <w:rPr>
                <w:rFonts w:hint="eastAsia" w:ascii="Times New Roman" w:hAnsi="Times New Roman" w:eastAsia="宋体" w:cs="Times New Roman"/>
                <w:bCs/>
                <w:color w:val="auto"/>
                <w:sz w:val="21"/>
                <w:szCs w:val="21"/>
                <w:lang w:eastAsia="zh-Hans"/>
              </w:rPr>
              <w:t>动机热试等设备采取了减振、隔音、消音等措施，对产生的废催化剂置于公司已有防渗危废暂存间，并定期交由有资质单位处置，严格执行了</w:t>
            </w:r>
            <w:r>
              <w:rPr>
                <w:rFonts w:ascii="Times New Roman" w:hAnsi="Times New Roman" w:eastAsia="宋体" w:cs="Times New Roman"/>
                <w:color w:val="auto"/>
                <w:sz w:val="21"/>
                <w:szCs w:val="21"/>
              </w:rPr>
              <w:t>北京市危险废物转移联单制度</w:t>
            </w:r>
            <w:r>
              <w:rPr>
                <w:rFonts w:hint="eastAsia" w:ascii="Times New Roman" w:hAnsi="Times New Roman" w:eastAsia="宋体" w:cs="Times New Roman"/>
                <w:color w:val="auto"/>
                <w:sz w:val="21"/>
                <w:szCs w:val="21"/>
                <w:lang w:eastAsia="zh-Hans"/>
              </w:rPr>
              <w:t>。</w:t>
            </w:r>
          </w:p>
          <w:p>
            <w:pPr>
              <w:spacing w:after="0" w:line="520" w:lineRule="exact"/>
              <w:ind w:firstLine="420" w:firstLineChars="200"/>
              <w:rPr>
                <w:rFonts w:hint="eastAsia" w:ascii="宋体" w:hAnsi="宋体" w:eastAsia="宋体" w:cs="宋体"/>
                <w:color w:val="auto"/>
                <w:sz w:val="21"/>
                <w:szCs w:val="21"/>
              </w:rPr>
            </w:pPr>
            <w:r>
              <w:rPr>
                <w:rFonts w:hint="eastAsia" w:ascii="Times New Roman" w:hAnsi="Times New Roman" w:eastAsia="宋体" w:cs="Times New Roman"/>
                <w:color w:val="auto"/>
                <w:sz w:val="21"/>
                <w:szCs w:val="21"/>
              </w:rPr>
              <w:t>本项目利用已有建筑进行</w:t>
            </w:r>
            <w:r>
              <w:rPr>
                <w:rFonts w:hint="eastAsia" w:ascii="宋体" w:hAnsi="宋体" w:eastAsia="宋体" w:cs="宋体"/>
                <w:color w:val="auto"/>
                <w:sz w:val="21"/>
                <w:szCs w:val="21"/>
              </w:rPr>
              <w:t>发动机测试，包括冷态试验和热态试验，其中发动机冷态试验台数为</w:t>
            </w:r>
            <w:r>
              <w:rPr>
                <w:rFonts w:ascii="Times New Roman" w:hAnsi="Times New Roman" w:eastAsia="宋体" w:cs="Times New Roman"/>
                <w:color w:val="auto"/>
                <w:sz w:val="21"/>
                <w:szCs w:val="21"/>
              </w:rPr>
              <w:t>4.34</w:t>
            </w:r>
            <w:r>
              <w:rPr>
                <w:rFonts w:hint="eastAsia" w:ascii="宋体" w:hAnsi="宋体" w:eastAsia="宋体" w:cs="宋体"/>
                <w:color w:val="auto"/>
                <w:sz w:val="21"/>
                <w:szCs w:val="21"/>
              </w:rPr>
              <w:t>万台/年，热态试验为冷态测试发动机总台数的20%，为0.868万台/年。</w:t>
            </w:r>
          </w:p>
          <w:p>
            <w:pPr>
              <w:spacing w:after="0" w:line="52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本项目建设内容没有重大变化，本项目建设内容变化情况详见表2-1。</w:t>
            </w:r>
          </w:p>
          <w:p>
            <w:pPr>
              <w:widowControl w:val="0"/>
              <w:adjustRightInd/>
              <w:snapToGrid/>
              <w:spacing w:after="0"/>
              <w:jc w:val="both"/>
              <w:rPr>
                <w:rFonts w:ascii="Times New Roman" w:hAnsi="Times New Roman" w:eastAsia="黑体" w:cs="Times New Roman"/>
                <w:color w:val="auto"/>
                <w:kern w:val="2"/>
                <w:sz w:val="21"/>
                <w:szCs w:val="21"/>
              </w:rPr>
            </w:pPr>
          </w:p>
          <w:p>
            <w:pPr>
              <w:widowControl w:val="0"/>
              <w:adjustRightInd/>
              <w:snapToGrid/>
              <w:spacing w:after="0"/>
              <w:jc w:val="center"/>
              <w:rPr>
                <w:rFonts w:ascii="Times New Roman" w:hAnsi="Times New Roman" w:eastAsia="黑体" w:cs="Times New Roman"/>
                <w:color w:val="auto"/>
                <w:kern w:val="2"/>
                <w:sz w:val="21"/>
                <w:szCs w:val="21"/>
              </w:rPr>
            </w:pPr>
            <w:r>
              <w:rPr>
                <w:rFonts w:ascii="Times New Roman" w:hAnsi="Times New Roman" w:eastAsia="黑体" w:cs="Times New Roman"/>
                <w:color w:val="auto"/>
                <w:kern w:val="2"/>
                <w:sz w:val="21"/>
                <w:szCs w:val="21"/>
              </w:rPr>
              <w:t>表</w:t>
            </w:r>
            <w:r>
              <w:rPr>
                <w:rFonts w:hint="eastAsia" w:ascii="Times New Roman" w:hAnsi="Times New Roman" w:eastAsia="黑体" w:cs="Times New Roman"/>
                <w:color w:val="auto"/>
                <w:kern w:val="2"/>
                <w:sz w:val="21"/>
                <w:szCs w:val="21"/>
              </w:rPr>
              <w:t>2</w:t>
            </w:r>
            <w:r>
              <w:rPr>
                <w:rFonts w:ascii="Times New Roman" w:hAnsi="Times New Roman" w:eastAsia="黑体" w:cs="Times New Roman"/>
                <w:color w:val="auto"/>
                <w:kern w:val="2"/>
                <w:sz w:val="21"/>
                <w:szCs w:val="21"/>
              </w:rPr>
              <w:t>-1 项目建设内容及变化情况一览表</w:t>
            </w:r>
          </w:p>
          <w:tbl>
            <w:tblPr>
              <w:tblStyle w:val="18"/>
              <w:tblW w:w="477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31"/>
              <w:gridCol w:w="1001"/>
              <w:gridCol w:w="3066"/>
              <w:gridCol w:w="2279"/>
              <w:gridCol w:w="15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0" w:hRule="atLeast"/>
                <w:jc w:val="center"/>
              </w:trPr>
              <w:tc>
                <w:tcPr>
                  <w:tcW w:w="913" w:type="pct"/>
                  <w:gridSpan w:val="2"/>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项目内容</w:t>
                  </w:r>
                </w:p>
              </w:tc>
              <w:tc>
                <w:tcPr>
                  <w:tcW w:w="1827"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环评报告</w:t>
                  </w:r>
                </w:p>
              </w:tc>
              <w:tc>
                <w:tcPr>
                  <w:tcW w:w="1358"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实际建设</w:t>
                  </w:r>
                </w:p>
              </w:tc>
              <w:tc>
                <w:tcPr>
                  <w:tcW w:w="900"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316" w:type="pct"/>
                  <w:vMerge w:val="restart"/>
                  <w:shd w:val="clear" w:color="auto" w:fill="auto"/>
                  <w:vAlign w:val="center"/>
                </w:tcPr>
                <w:p>
                  <w:pPr>
                    <w:widowControl w:val="0"/>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主体工程</w:t>
                  </w: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建设地点</w:t>
                  </w:r>
                </w:p>
              </w:tc>
              <w:tc>
                <w:tcPr>
                  <w:tcW w:w="1827" w:type="pct"/>
                  <w:shd w:val="clear" w:color="auto" w:fill="auto"/>
                  <w:vAlign w:val="center"/>
                </w:tcPr>
                <w:p>
                  <w:pPr>
                    <w:adjustRightInd/>
                    <w:snapToGrid/>
                    <w:spacing w:after="0"/>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北京市昌平区沙河镇沙阳路15-1号。</w:t>
                  </w:r>
                </w:p>
              </w:tc>
              <w:tc>
                <w:tcPr>
                  <w:tcW w:w="1358" w:type="pct"/>
                  <w:shd w:val="clear" w:color="auto" w:fill="auto"/>
                  <w:vAlign w:val="center"/>
                </w:tcPr>
                <w:p>
                  <w:pPr>
                    <w:adjustRightInd/>
                    <w:snapToGrid/>
                    <w:spacing w:after="0"/>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北京市昌平区沙河镇沙阳路15-1号。</w:t>
                  </w:r>
                </w:p>
              </w:tc>
              <w:tc>
                <w:tcPr>
                  <w:tcW w:w="900"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9" w:hRule="atLeast"/>
                <w:jc w:val="center"/>
              </w:trPr>
              <w:tc>
                <w:tcPr>
                  <w:tcW w:w="316" w:type="pct"/>
                  <w:vMerge w:val="continue"/>
                  <w:shd w:val="clear" w:color="auto" w:fill="auto"/>
                  <w:vAlign w:val="center"/>
                </w:tcPr>
                <w:p>
                  <w:pPr>
                    <w:widowControl w:val="0"/>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项目投资</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2745万元</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2352.27万元</w:t>
                  </w:r>
                </w:p>
              </w:tc>
              <w:tc>
                <w:tcPr>
                  <w:tcW w:w="900"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与环评基本一致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占地面积</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kern w:val="2"/>
                      <w:sz w:val="18"/>
                      <w:szCs w:val="18"/>
                    </w:rPr>
                    <w:t>313.9</w:t>
                  </w:r>
                  <w:r>
                    <w:rPr>
                      <w:rFonts w:hint="eastAsia" w:ascii="Times New Roman" w:hAnsi="Times New Roman" w:eastAsia="宋体" w:cs="Times New Roman"/>
                      <w:color w:val="auto"/>
                      <w:sz w:val="18"/>
                      <w:szCs w:val="18"/>
                    </w:rPr>
                    <w:t>平方米</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kern w:val="2"/>
                      <w:sz w:val="18"/>
                      <w:szCs w:val="18"/>
                    </w:rPr>
                    <w:t>313.9</w:t>
                  </w:r>
                  <w:r>
                    <w:rPr>
                      <w:rFonts w:hint="eastAsia" w:ascii="Times New Roman" w:hAnsi="Times New Roman" w:eastAsia="宋体" w:cs="Times New Roman"/>
                      <w:color w:val="auto"/>
                      <w:sz w:val="18"/>
                      <w:szCs w:val="18"/>
                    </w:rPr>
                    <w:t>平方米</w:t>
                  </w:r>
                </w:p>
              </w:tc>
              <w:tc>
                <w:tcPr>
                  <w:tcW w:w="900" w:type="pct"/>
                  <w:vMerge w:val="restar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与环评一致</w:t>
                  </w:r>
                </w:p>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建筑面积</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4</w:t>
                  </w:r>
                  <w:r>
                    <w:rPr>
                      <w:rFonts w:hint="eastAsia" w:ascii="Times New Roman" w:hAnsi="Times New Roman" w:eastAsia="宋体" w:cs="Times New Roman"/>
                      <w:color w:val="auto"/>
                      <w:sz w:val="18"/>
                      <w:szCs w:val="18"/>
                    </w:rPr>
                    <w:t>07平方米</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4</w:t>
                  </w:r>
                  <w:r>
                    <w:rPr>
                      <w:rFonts w:hint="eastAsia" w:ascii="Times New Roman" w:hAnsi="Times New Roman" w:eastAsia="宋体" w:cs="Times New Roman"/>
                      <w:color w:val="auto"/>
                      <w:sz w:val="18"/>
                      <w:szCs w:val="18"/>
                    </w:rPr>
                    <w:t>07平方米</w:t>
                  </w:r>
                </w:p>
              </w:tc>
              <w:tc>
                <w:tcPr>
                  <w:tcW w:w="900" w:type="pct"/>
                  <w:vMerge w:val="continue"/>
                  <w:shd w:val="clear" w:color="auto" w:fill="auto"/>
                  <w:vAlign w:val="center"/>
                </w:tcPr>
                <w:p>
                  <w:pPr>
                    <w:widowControl w:val="0"/>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建设内容</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天然气试验间</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天然气试验间</w:t>
                  </w:r>
                </w:p>
              </w:tc>
              <w:tc>
                <w:tcPr>
                  <w:tcW w:w="900" w:type="pct"/>
                  <w:vMerge w:val="continue"/>
                  <w:shd w:val="clear" w:color="auto" w:fill="auto"/>
                  <w:vAlign w:val="center"/>
                </w:tcPr>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主要设备</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2台测试台架</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2台测试台架</w:t>
                  </w:r>
                </w:p>
              </w:tc>
              <w:tc>
                <w:tcPr>
                  <w:tcW w:w="900" w:type="pct"/>
                  <w:vMerge w:val="continue"/>
                  <w:shd w:val="clear" w:color="auto" w:fill="auto"/>
                  <w:vAlign w:val="center"/>
                </w:tcPr>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316" w:type="pct"/>
                  <w:vMerge w:val="restar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公用工程</w:t>
                  </w: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供电</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市政供电网络提供</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市政供电网络提供</w:t>
                  </w:r>
                </w:p>
              </w:tc>
              <w:tc>
                <w:tcPr>
                  <w:tcW w:w="900" w:type="pct"/>
                  <w:vMerge w:val="continue"/>
                  <w:shd w:val="clear" w:color="auto" w:fill="auto"/>
                  <w:vAlign w:val="center"/>
                </w:tcPr>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供暖</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依托已验收的锅炉房</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依托已验收的锅炉房</w:t>
                  </w:r>
                </w:p>
              </w:tc>
              <w:tc>
                <w:tcPr>
                  <w:tcW w:w="900" w:type="pct"/>
                  <w:vMerge w:val="continue"/>
                  <w:shd w:val="clear" w:color="auto" w:fill="auto"/>
                  <w:vAlign w:val="center"/>
                </w:tcPr>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供气</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市政天然气</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市政天然气</w:t>
                  </w:r>
                </w:p>
              </w:tc>
              <w:tc>
                <w:tcPr>
                  <w:tcW w:w="900" w:type="pct"/>
                  <w:vMerge w:val="continue"/>
                  <w:shd w:val="clear" w:color="auto" w:fill="auto"/>
                  <w:vAlign w:val="center"/>
                </w:tcPr>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1"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供水</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市政自来水管网提供</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市政自来水管网提供</w:t>
                  </w:r>
                </w:p>
              </w:tc>
              <w:tc>
                <w:tcPr>
                  <w:tcW w:w="900" w:type="pct"/>
                  <w:vMerge w:val="continue"/>
                  <w:shd w:val="clear" w:color="auto" w:fill="auto"/>
                  <w:vAlign w:val="center"/>
                </w:tcPr>
                <w:p>
                  <w:pPr>
                    <w:adjustRightInd/>
                    <w:snapToGrid/>
                    <w:spacing w:after="0"/>
                    <w:jc w:val="center"/>
                    <w:rPr>
                      <w:rFonts w:ascii="Times New Roman" w:hAnsi="Times New Roman" w:eastAsia="宋体" w:cs="Times New Roman"/>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排水</w:t>
                  </w:r>
                </w:p>
              </w:tc>
              <w:tc>
                <w:tcPr>
                  <w:tcW w:w="1827"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依托已验收的污水处理站</w:t>
                  </w:r>
                </w:p>
              </w:tc>
              <w:tc>
                <w:tcPr>
                  <w:tcW w:w="1358"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依托已验收的污水处理站</w:t>
                  </w:r>
                </w:p>
              </w:tc>
              <w:tc>
                <w:tcPr>
                  <w:tcW w:w="900"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89" w:hRule="atLeast"/>
                <w:jc w:val="center"/>
              </w:trPr>
              <w:tc>
                <w:tcPr>
                  <w:tcW w:w="316" w:type="pct"/>
                  <w:vMerge w:val="restar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环保工程</w:t>
                  </w: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废气</w:t>
                  </w:r>
                </w:p>
              </w:tc>
              <w:tc>
                <w:tcPr>
                  <w:tcW w:w="1827" w:type="pct"/>
                  <w:shd w:val="clear" w:color="auto" w:fill="auto"/>
                  <w:vAlign w:val="center"/>
                </w:tcPr>
                <w:p>
                  <w:pPr>
                    <w:adjustRightInd/>
                    <w:snapToGrid/>
                    <w:spacing w:after="0"/>
                    <w:ind w:firstLine="360" w:firstLineChars="20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本项目天然气发动机热试废气经SCR处理后，通过1根20m高度的排气筒排放，外排废气能够达到</w:t>
                  </w:r>
                  <w:r>
                    <w:rPr>
                      <w:rFonts w:ascii="Times New Roman" w:hAnsi="Times New Roman" w:eastAsia="宋体" w:cs="Times New Roman"/>
                      <w:color w:val="auto"/>
                      <w:sz w:val="18"/>
                      <w:szCs w:val="18"/>
                    </w:rPr>
                    <w:t>北京市《大气污染物综合排放标准》（DB11/501-2017）中表3生产工艺废气及其他废气大气污染物</w:t>
                  </w:r>
                  <w:r>
                    <w:rPr>
                      <w:rFonts w:hint="eastAsia" w:ascii="Times New Roman" w:hAnsi="Times New Roman" w:eastAsia="宋体" w:cs="Times New Roman"/>
                      <w:color w:val="auto"/>
                      <w:sz w:val="18"/>
                      <w:szCs w:val="18"/>
                    </w:rPr>
                    <w:t>Ⅱ</w:t>
                  </w:r>
                  <w:r>
                    <w:rPr>
                      <w:rFonts w:ascii="Times New Roman" w:hAnsi="Times New Roman" w:eastAsia="宋体" w:cs="Times New Roman"/>
                      <w:color w:val="auto"/>
                      <w:sz w:val="18"/>
                      <w:szCs w:val="18"/>
                    </w:rPr>
                    <w:t>时段排放限值</w:t>
                  </w:r>
                  <w:r>
                    <w:rPr>
                      <w:rFonts w:hint="eastAsia" w:ascii="Times New Roman" w:hAnsi="Times New Roman" w:eastAsia="宋体" w:cs="Times New Roman"/>
                      <w:color w:val="auto"/>
                      <w:sz w:val="18"/>
                      <w:szCs w:val="18"/>
                    </w:rPr>
                    <w:t>。</w:t>
                  </w:r>
                </w:p>
              </w:tc>
              <w:tc>
                <w:tcPr>
                  <w:tcW w:w="1358" w:type="pct"/>
                  <w:shd w:val="clear" w:color="auto" w:fill="auto"/>
                  <w:vAlign w:val="center"/>
                </w:tcPr>
                <w:p>
                  <w:pPr>
                    <w:adjustRightInd/>
                    <w:snapToGrid/>
                    <w:spacing w:after="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天然发动机试验间配套安装了尾气净化装置（包括</w:t>
                  </w:r>
                  <w:r>
                    <w:rPr>
                      <w:rFonts w:ascii="Times New Roman" w:hAnsi="Times New Roman" w:eastAsia="宋体" w:cs="Times New Roman"/>
                      <w:color w:val="auto"/>
                      <w:sz w:val="18"/>
                      <w:szCs w:val="18"/>
                    </w:rPr>
                    <w:t>DOC+POC +SCR</w:t>
                  </w:r>
                  <w:r>
                    <w:rPr>
                      <w:rFonts w:hint="eastAsia" w:ascii="Times New Roman" w:hAnsi="Times New Roman" w:eastAsia="宋体" w:cs="Times New Roman"/>
                      <w:color w:val="auto"/>
                      <w:sz w:val="18"/>
                      <w:szCs w:val="18"/>
                    </w:rPr>
                    <w:t>模块）外排热试废气经20m高烟囱达标排放</w:t>
                  </w:r>
                </w:p>
              </w:tc>
              <w:tc>
                <w:tcPr>
                  <w:tcW w:w="900" w:type="pct"/>
                  <w:shd w:val="clear" w:color="auto" w:fill="auto"/>
                  <w:vAlign w:val="center"/>
                </w:tcPr>
                <w:p>
                  <w:pPr>
                    <w:adjustRightInd/>
                    <w:snapToGrid/>
                    <w:spacing w:after="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与环评相比，尾气净化装置增加了</w:t>
                  </w:r>
                  <w:r>
                    <w:rPr>
                      <w:rFonts w:ascii="Times New Roman" w:hAnsi="Times New Roman" w:eastAsia="宋体" w:cs="Times New Roman"/>
                      <w:color w:val="auto"/>
                      <w:sz w:val="18"/>
                      <w:szCs w:val="18"/>
                    </w:rPr>
                    <w:t>DOC</w:t>
                  </w:r>
                  <w:r>
                    <w:rPr>
                      <w:rFonts w:hint="eastAsia" w:ascii="Times New Roman" w:hAnsi="Times New Roman" w:eastAsia="宋体" w:cs="Times New Roman"/>
                      <w:color w:val="auto"/>
                      <w:sz w:val="18"/>
                      <w:szCs w:val="18"/>
                    </w:rPr>
                    <w:t>模块用于去除废气中的挥发性有机物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3" w:hRule="atLeast"/>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噪声</w:t>
                  </w:r>
                </w:p>
              </w:tc>
              <w:tc>
                <w:tcPr>
                  <w:tcW w:w="1827" w:type="pct"/>
                  <w:shd w:val="clear" w:color="auto" w:fill="auto"/>
                  <w:vAlign w:val="center"/>
                </w:tcPr>
                <w:p>
                  <w:pPr>
                    <w:adjustRightInd/>
                    <w:snapToGrid/>
                    <w:spacing w:after="0"/>
                    <w:ind w:firstLine="360" w:firstLineChars="20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对主要噪声源</w:t>
                  </w:r>
                  <w:r>
                    <w:rPr>
                      <w:rFonts w:ascii="Times New Roman" w:hAnsi="Times New Roman" w:eastAsia="宋体" w:cs="Times New Roman"/>
                      <w:color w:val="auto"/>
                      <w:sz w:val="18"/>
                      <w:szCs w:val="18"/>
                    </w:rPr>
                    <w:t>采取了减振、</w:t>
                  </w:r>
                  <w:r>
                    <w:rPr>
                      <w:rFonts w:hint="eastAsia" w:ascii="Times New Roman" w:hAnsi="Times New Roman" w:eastAsia="宋体" w:cs="Times New Roman"/>
                      <w:color w:val="auto"/>
                      <w:sz w:val="18"/>
                      <w:szCs w:val="18"/>
                    </w:rPr>
                    <w:t>消音、</w:t>
                  </w:r>
                  <w:r>
                    <w:rPr>
                      <w:rFonts w:ascii="Times New Roman" w:hAnsi="Times New Roman" w:eastAsia="宋体" w:cs="Times New Roman"/>
                      <w:color w:val="auto"/>
                      <w:sz w:val="18"/>
                      <w:szCs w:val="18"/>
                    </w:rPr>
                    <w:t>隔音等措施</w:t>
                  </w:r>
                  <w:r>
                    <w:rPr>
                      <w:rFonts w:hint="eastAsia" w:ascii="Times New Roman" w:hAnsi="Times New Roman" w:eastAsia="宋体" w:cs="Times New Roman"/>
                      <w:color w:val="auto"/>
                      <w:sz w:val="18"/>
                      <w:szCs w:val="18"/>
                    </w:rPr>
                    <w:t>，达到</w:t>
                  </w:r>
                  <w:r>
                    <w:rPr>
                      <w:rFonts w:ascii="Times New Roman" w:hAnsi="Times New Roman" w:eastAsia="宋体" w:cs="Times New Roman"/>
                      <w:color w:val="auto"/>
                      <w:sz w:val="18"/>
                      <w:szCs w:val="18"/>
                    </w:rPr>
                    <w:t>《工业企业厂界环境噪声排放标准》（GB12348-2008）</w:t>
                  </w:r>
                  <w:r>
                    <w:rPr>
                      <w:rFonts w:hint="eastAsia" w:ascii="Times New Roman" w:hAnsi="Times New Roman" w:eastAsia="宋体" w:cs="Times New Roman"/>
                      <w:color w:val="auto"/>
                      <w:sz w:val="18"/>
                      <w:szCs w:val="18"/>
                    </w:rPr>
                    <w:t>中</w:t>
                  </w:r>
                  <w:r>
                    <w:rPr>
                      <w:rFonts w:ascii="Times New Roman" w:hAnsi="Times New Roman" w:eastAsia="宋体" w:cs="Times New Roman"/>
                      <w:color w:val="auto"/>
                      <w:sz w:val="18"/>
                      <w:szCs w:val="18"/>
                    </w:rPr>
                    <w:t>的3类昼间噪声限值要求</w:t>
                  </w:r>
                  <w:r>
                    <w:rPr>
                      <w:rFonts w:hint="eastAsia" w:ascii="Times New Roman" w:hAnsi="Times New Roman" w:eastAsia="宋体" w:cs="Times New Roman"/>
                      <w:color w:val="auto"/>
                      <w:sz w:val="18"/>
                      <w:szCs w:val="18"/>
                    </w:rPr>
                    <w:t>。</w:t>
                  </w:r>
                </w:p>
              </w:tc>
              <w:tc>
                <w:tcPr>
                  <w:tcW w:w="1358" w:type="pct"/>
                  <w:shd w:val="clear" w:color="auto" w:fill="auto"/>
                  <w:vAlign w:val="center"/>
                </w:tcPr>
                <w:p>
                  <w:pPr>
                    <w:adjustRightInd/>
                    <w:snapToGrid/>
                    <w:spacing w:after="0"/>
                    <w:ind w:firstLine="270" w:firstLineChars="15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对主要噪声源</w:t>
                  </w:r>
                  <w:r>
                    <w:rPr>
                      <w:rFonts w:ascii="Times New Roman" w:hAnsi="Times New Roman" w:eastAsia="宋体" w:cs="Times New Roman"/>
                      <w:color w:val="auto"/>
                      <w:sz w:val="18"/>
                      <w:szCs w:val="18"/>
                    </w:rPr>
                    <w:t>采取了减振、</w:t>
                  </w:r>
                  <w:r>
                    <w:rPr>
                      <w:rFonts w:hint="eastAsia" w:ascii="Times New Roman" w:hAnsi="Times New Roman" w:eastAsia="宋体" w:cs="Times New Roman"/>
                      <w:color w:val="auto"/>
                      <w:sz w:val="18"/>
                      <w:szCs w:val="18"/>
                    </w:rPr>
                    <w:t>消</w:t>
                  </w:r>
                  <w:r>
                    <w:rPr>
                      <w:rFonts w:ascii="Times New Roman" w:hAnsi="Times New Roman" w:eastAsia="宋体" w:cs="Times New Roman"/>
                      <w:color w:val="auto"/>
                      <w:sz w:val="18"/>
                      <w:szCs w:val="18"/>
                    </w:rPr>
                    <w:t>音</w:t>
                  </w:r>
                  <w:r>
                    <w:rPr>
                      <w:rFonts w:hint="eastAsia" w:ascii="Times New Roman" w:hAnsi="Times New Roman" w:eastAsia="宋体" w:cs="Times New Roman"/>
                      <w:color w:val="auto"/>
                      <w:sz w:val="18"/>
                      <w:szCs w:val="18"/>
                    </w:rPr>
                    <w:t>、隔音</w:t>
                  </w:r>
                  <w:r>
                    <w:rPr>
                      <w:rFonts w:ascii="Times New Roman" w:hAnsi="Times New Roman" w:eastAsia="宋体" w:cs="Times New Roman"/>
                      <w:color w:val="auto"/>
                      <w:sz w:val="18"/>
                      <w:szCs w:val="18"/>
                    </w:rPr>
                    <w:t>等措施</w:t>
                  </w:r>
                  <w:r>
                    <w:rPr>
                      <w:rFonts w:hint="eastAsia" w:ascii="Times New Roman" w:hAnsi="Times New Roman" w:eastAsia="宋体" w:cs="Times New Roman"/>
                      <w:color w:val="auto"/>
                      <w:sz w:val="18"/>
                      <w:szCs w:val="18"/>
                    </w:rPr>
                    <w:t>。</w:t>
                  </w:r>
                </w:p>
              </w:tc>
              <w:tc>
                <w:tcPr>
                  <w:tcW w:w="900"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16" w:type="pct"/>
                  <w:vMerge w:val="continue"/>
                  <w:shd w:val="clear" w:color="auto" w:fill="auto"/>
                  <w:vAlign w:val="center"/>
                </w:tcPr>
                <w:p>
                  <w:pPr>
                    <w:adjustRightInd/>
                    <w:snapToGrid/>
                    <w:spacing w:after="0"/>
                    <w:jc w:val="center"/>
                    <w:rPr>
                      <w:rFonts w:ascii="Times New Roman" w:hAnsi="Times New Roman" w:eastAsia="宋体" w:cs="Times New Roman"/>
                      <w:b/>
                      <w:color w:val="auto"/>
                      <w:sz w:val="18"/>
                      <w:szCs w:val="18"/>
                    </w:rPr>
                  </w:pPr>
                </w:p>
              </w:tc>
              <w:tc>
                <w:tcPr>
                  <w:tcW w:w="596" w:type="pct"/>
                  <w:shd w:val="clear" w:color="auto" w:fill="auto"/>
                  <w:vAlign w:val="center"/>
                </w:tcPr>
                <w:p>
                  <w:pPr>
                    <w:adjustRightInd/>
                    <w:snapToGrid/>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固废</w:t>
                  </w:r>
                </w:p>
              </w:tc>
              <w:tc>
                <w:tcPr>
                  <w:tcW w:w="1827" w:type="pct"/>
                  <w:shd w:val="clear" w:color="auto" w:fill="auto"/>
                  <w:vAlign w:val="center"/>
                </w:tcPr>
                <w:p>
                  <w:pPr>
                    <w:adjustRightInd/>
                    <w:snapToGrid/>
                    <w:spacing w:after="0"/>
                    <w:ind w:firstLine="360" w:firstLineChars="20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本项目废催化剂交由</w:t>
                  </w:r>
                  <w:r>
                    <w:rPr>
                      <w:rFonts w:ascii="Times New Roman" w:hAnsi="Times New Roman" w:eastAsia="宋体" w:cs="Times New Roman"/>
                      <w:color w:val="auto"/>
                      <w:sz w:val="18"/>
                      <w:szCs w:val="18"/>
                    </w:rPr>
                    <w:t>北京市金隅红树林环保技术有限责任公司</w:t>
                  </w:r>
                  <w:r>
                    <w:rPr>
                      <w:rFonts w:hint="eastAsia" w:ascii="Times New Roman" w:hAnsi="Times New Roman" w:eastAsia="宋体" w:cs="Times New Roman"/>
                      <w:color w:val="auto"/>
                      <w:sz w:val="18"/>
                      <w:szCs w:val="18"/>
                    </w:rPr>
                    <w:t>处置；</w:t>
                  </w:r>
                  <w:r>
                    <w:rPr>
                      <w:rFonts w:ascii="Times New Roman" w:hAnsi="Times New Roman" w:eastAsia="宋体" w:cs="Times New Roman"/>
                      <w:color w:val="auto"/>
                      <w:sz w:val="18"/>
                      <w:szCs w:val="18"/>
                    </w:rPr>
                    <w:t>不能回收的</w:t>
                  </w:r>
                  <w:r>
                    <w:rPr>
                      <w:rFonts w:hint="eastAsia" w:ascii="Times New Roman" w:hAnsi="Times New Roman" w:eastAsia="宋体" w:cs="Times New Roman"/>
                      <w:color w:val="auto"/>
                      <w:sz w:val="18"/>
                      <w:szCs w:val="18"/>
                    </w:rPr>
                    <w:t>垃圾</w:t>
                  </w:r>
                  <w:r>
                    <w:rPr>
                      <w:rFonts w:ascii="Times New Roman" w:hAnsi="Times New Roman" w:eastAsia="宋体" w:cs="Times New Roman"/>
                      <w:color w:val="auto"/>
                      <w:sz w:val="18"/>
                      <w:szCs w:val="18"/>
                    </w:rPr>
                    <w:t>用密闭垃圾桶</w:t>
                  </w:r>
                  <w:r>
                    <w:rPr>
                      <w:rFonts w:hint="eastAsia" w:ascii="Times New Roman" w:hAnsi="Times New Roman" w:eastAsia="宋体" w:cs="Times New Roman"/>
                      <w:color w:val="auto"/>
                      <w:sz w:val="18"/>
                      <w:szCs w:val="18"/>
                    </w:rPr>
                    <w:t>分类</w:t>
                  </w:r>
                  <w:r>
                    <w:rPr>
                      <w:rFonts w:ascii="Times New Roman" w:hAnsi="Times New Roman" w:eastAsia="宋体" w:cs="Times New Roman"/>
                      <w:color w:val="auto"/>
                      <w:sz w:val="18"/>
                      <w:szCs w:val="18"/>
                    </w:rPr>
                    <w:t>存放，由环卫人员定期清运</w:t>
                  </w:r>
                  <w:r>
                    <w:rPr>
                      <w:rFonts w:hint="eastAsia" w:ascii="Times New Roman" w:hAnsi="Times New Roman" w:eastAsia="宋体" w:cs="Times New Roman"/>
                      <w:color w:val="auto"/>
                      <w:sz w:val="18"/>
                      <w:szCs w:val="18"/>
                    </w:rPr>
                    <w:t>。</w:t>
                  </w:r>
                </w:p>
              </w:tc>
              <w:tc>
                <w:tcPr>
                  <w:tcW w:w="1358" w:type="pct"/>
                  <w:shd w:val="clear" w:color="auto" w:fill="auto"/>
                  <w:vAlign w:val="center"/>
                </w:tcPr>
                <w:p>
                  <w:pPr>
                    <w:adjustRightInd/>
                    <w:snapToGrid/>
                    <w:spacing w:after="0"/>
                    <w:ind w:firstLine="360" w:firstLineChars="200"/>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危</w:t>
                  </w:r>
                  <w:r>
                    <w:rPr>
                      <w:rFonts w:hint="eastAsia" w:ascii="Times New Roman" w:hAnsi="Times New Roman" w:eastAsia="宋体" w:cs="Times New Roman"/>
                      <w:color w:val="auto"/>
                      <w:sz w:val="18"/>
                      <w:szCs w:val="18"/>
                    </w:rPr>
                    <w:t>催化剂</w:t>
                  </w:r>
                  <w:r>
                    <w:rPr>
                      <w:rFonts w:ascii="Times New Roman" w:hAnsi="Times New Roman" w:eastAsia="宋体" w:cs="Times New Roman"/>
                      <w:color w:val="auto"/>
                      <w:sz w:val="18"/>
                      <w:szCs w:val="18"/>
                    </w:rPr>
                    <w:t>暂存于厂区现有危废暂存间内</w:t>
                  </w:r>
                  <w:r>
                    <w:rPr>
                      <w:rFonts w:hint="eastAsia" w:ascii="Times New Roman" w:hAnsi="Times New Roman" w:eastAsia="宋体" w:cs="Times New Roman"/>
                      <w:color w:val="auto"/>
                      <w:sz w:val="18"/>
                      <w:szCs w:val="18"/>
                    </w:rPr>
                    <w:t>；本项目不新增生活垃圾，公司不能回收的</w:t>
                  </w:r>
                  <w:r>
                    <w:rPr>
                      <w:rFonts w:ascii="Times New Roman" w:hAnsi="Times New Roman" w:eastAsia="宋体" w:cs="Times New Roman"/>
                      <w:color w:val="auto"/>
                      <w:sz w:val="18"/>
                      <w:szCs w:val="18"/>
                    </w:rPr>
                    <w:t>用密闭垃圾桶集中</w:t>
                  </w:r>
                  <w:r>
                    <w:rPr>
                      <w:rFonts w:hint="eastAsia" w:ascii="Times New Roman" w:hAnsi="Times New Roman" w:eastAsia="宋体" w:cs="Times New Roman"/>
                      <w:color w:val="auto"/>
                      <w:sz w:val="18"/>
                      <w:szCs w:val="18"/>
                    </w:rPr>
                    <w:t>分类</w:t>
                  </w:r>
                  <w:r>
                    <w:rPr>
                      <w:rFonts w:ascii="Times New Roman" w:hAnsi="Times New Roman" w:eastAsia="宋体" w:cs="Times New Roman"/>
                      <w:color w:val="auto"/>
                      <w:sz w:val="18"/>
                      <w:szCs w:val="18"/>
                    </w:rPr>
                    <w:t>存放，由环卫人员定期清运</w:t>
                  </w:r>
                  <w:r>
                    <w:rPr>
                      <w:rFonts w:hint="eastAsia" w:ascii="Times New Roman" w:hAnsi="Times New Roman" w:eastAsia="宋体" w:cs="Times New Roman"/>
                      <w:color w:val="auto"/>
                      <w:sz w:val="18"/>
                      <w:szCs w:val="18"/>
                    </w:rPr>
                    <w:t>，做到日产日清。</w:t>
                  </w:r>
                </w:p>
              </w:tc>
              <w:tc>
                <w:tcPr>
                  <w:tcW w:w="900" w:type="pct"/>
                  <w:shd w:val="clear" w:color="auto" w:fill="auto"/>
                  <w:vAlign w:val="center"/>
                </w:tcPr>
                <w:p>
                  <w:pPr>
                    <w:adjustRightInd/>
                    <w:snapToGrid/>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与环评一致</w:t>
                  </w:r>
                </w:p>
              </w:tc>
            </w:tr>
          </w:tbl>
          <w:p>
            <w:pPr>
              <w:spacing w:after="0" w:line="520" w:lineRule="exact"/>
              <w:ind w:firstLine="420" w:firstLineChars="200"/>
              <w:rPr>
                <w:color w:val="auto"/>
                <w:szCs w:val="26"/>
              </w:rPr>
            </w:pPr>
            <w:r>
              <w:rPr>
                <w:rFonts w:hint="eastAsia" w:ascii="Times New Roman" w:hAnsi="Times New Roman" w:eastAsia="宋体" w:cs="Times New Roman"/>
                <w:bCs/>
                <w:color w:val="auto"/>
                <w:sz w:val="21"/>
                <w:szCs w:val="21"/>
              </w:rPr>
              <w:t>本</w:t>
            </w:r>
            <w:r>
              <w:rPr>
                <w:rFonts w:hint="eastAsia" w:ascii="Times New Roman" w:hAnsi="Times New Roman" w:eastAsia="宋体" w:cs="Times New Roman"/>
                <w:bCs/>
                <w:color w:val="auto"/>
                <w:sz w:val="21"/>
                <w:szCs w:val="21"/>
                <w:lang w:eastAsia="zh-Hans"/>
              </w:rPr>
              <w:t>项目</w:t>
            </w:r>
            <w:r>
              <w:rPr>
                <w:rFonts w:hint="eastAsia" w:ascii="Times New Roman" w:hAnsi="Times New Roman" w:eastAsia="宋体" w:cs="Times New Roman"/>
                <w:bCs/>
                <w:color w:val="auto"/>
                <w:sz w:val="21"/>
                <w:szCs w:val="21"/>
              </w:rPr>
              <w:t>天然气试验间所需设备情况</w:t>
            </w:r>
            <w:r>
              <w:rPr>
                <w:rFonts w:ascii="Times New Roman" w:hAnsi="Times New Roman" w:eastAsia="宋体" w:cs="Times New Roman"/>
                <w:bCs/>
                <w:color w:val="auto"/>
                <w:sz w:val="21"/>
                <w:szCs w:val="21"/>
              </w:rPr>
              <w:t>见表</w:t>
            </w:r>
            <w:r>
              <w:rPr>
                <w:rFonts w:hint="eastAsia" w:ascii="Times New Roman" w:hAnsi="Times New Roman" w:eastAsia="宋体" w:cs="Times New Roman"/>
                <w:bCs/>
                <w:color w:val="auto"/>
                <w:sz w:val="21"/>
                <w:szCs w:val="21"/>
              </w:rPr>
              <w:t>2-2</w:t>
            </w:r>
            <w:r>
              <w:rPr>
                <w:rFonts w:ascii="Times New Roman" w:hAnsi="Times New Roman" w:eastAsia="宋体" w:cs="Times New Roman"/>
                <w:bCs/>
                <w:color w:val="auto"/>
                <w:sz w:val="21"/>
                <w:szCs w:val="21"/>
              </w:rPr>
              <w:t>。</w:t>
            </w:r>
          </w:p>
          <w:p>
            <w:pPr>
              <w:widowControl w:val="0"/>
              <w:adjustRightInd/>
              <w:snapToGrid/>
              <w:spacing w:after="0"/>
              <w:jc w:val="center"/>
              <w:rPr>
                <w:rFonts w:ascii="Times New Roman" w:hAnsi="Times New Roman" w:eastAsia="黑体" w:cs="Times New Roman"/>
                <w:color w:val="auto"/>
                <w:kern w:val="2"/>
                <w:sz w:val="21"/>
                <w:szCs w:val="21"/>
              </w:rPr>
            </w:pPr>
          </w:p>
          <w:p>
            <w:pPr>
              <w:widowControl w:val="0"/>
              <w:adjustRightInd/>
              <w:snapToGrid/>
              <w:spacing w:after="0"/>
              <w:jc w:val="center"/>
              <w:rPr>
                <w:rFonts w:eastAsia="黑体"/>
                <w:color w:val="auto"/>
                <w:sz w:val="21"/>
                <w:szCs w:val="21"/>
              </w:rPr>
            </w:pPr>
            <w:r>
              <w:rPr>
                <w:rFonts w:ascii="Times New Roman" w:hAnsi="Times New Roman" w:eastAsia="黑体" w:cs="Times New Roman"/>
                <w:color w:val="auto"/>
                <w:kern w:val="2"/>
                <w:sz w:val="21"/>
                <w:szCs w:val="21"/>
              </w:rPr>
              <w:t>表</w:t>
            </w:r>
            <w:r>
              <w:rPr>
                <w:rFonts w:hint="eastAsia" w:ascii="Times New Roman" w:hAnsi="Times New Roman" w:eastAsia="黑体" w:cs="Times New Roman"/>
                <w:color w:val="auto"/>
                <w:kern w:val="2"/>
                <w:sz w:val="21"/>
                <w:szCs w:val="21"/>
              </w:rPr>
              <w:t>2-2 使用设备情况一览</w:t>
            </w:r>
            <w:r>
              <w:rPr>
                <w:rFonts w:ascii="Times New Roman" w:hAnsi="Times New Roman" w:eastAsia="黑体" w:cs="Times New Roman"/>
                <w:color w:val="auto"/>
                <w:kern w:val="2"/>
                <w:sz w:val="21"/>
                <w:szCs w:val="21"/>
              </w:rPr>
              <w:t>表</w:t>
            </w:r>
          </w:p>
          <w:tbl>
            <w:tblPr>
              <w:tblStyle w:val="18"/>
              <w:tblW w:w="843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89"/>
              <w:gridCol w:w="3254"/>
              <w:gridCol w:w="1418"/>
              <w:gridCol w:w="156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tblHeader/>
                <w:jc w:val="center"/>
              </w:trPr>
              <w:tc>
                <w:tcPr>
                  <w:tcW w:w="2189"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项目</w:t>
                  </w:r>
                </w:p>
              </w:tc>
              <w:tc>
                <w:tcPr>
                  <w:tcW w:w="3254"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名称</w:t>
                  </w:r>
                </w:p>
              </w:tc>
              <w:tc>
                <w:tcPr>
                  <w:tcW w:w="1418"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数量</w:t>
                  </w:r>
                </w:p>
              </w:tc>
              <w:tc>
                <w:tcPr>
                  <w:tcW w:w="1569"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2189" w:type="dxa"/>
                  <w:shd w:val="clear" w:color="auto" w:fill="auto"/>
                  <w:noWrap/>
                  <w:vAlign w:val="center"/>
                </w:tcPr>
                <w:p>
                  <w:pPr>
                    <w:pStyle w:val="40"/>
                    <w:spacing w:line="240" w:lineRule="auto"/>
                    <w:rPr>
                      <w:snapToGrid w:val="0"/>
                      <w:color w:val="auto"/>
                      <w:sz w:val="18"/>
                      <w:szCs w:val="18"/>
                    </w:rPr>
                  </w:pPr>
                  <w:r>
                    <w:rPr>
                      <w:rFonts w:hint="eastAsia"/>
                      <w:snapToGrid w:val="0"/>
                      <w:color w:val="auto"/>
                      <w:sz w:val="18"/>
                      <w:szCs w:val="18"/>
                      <w:lang w:eastAsia="zh-Hans"/>
                    </w:rPr>
                    <w:t>发动机</w:t>
                  </w:r>
                  <w:r>
                    <w:rPr>
                      <w:rFonts w:hint="eastAsia"/>
                      <w:snapToGrid w:val="0"/>
                      <w:color w:val="auto"/>
                      <w:sz w:val="18"/>
                      <w:szCs w:val="18"/>
                    </w:rPr>
                    <w:t>测试</w:t>
                  </w:r>
                </w:p>
              </w:tc>
              <w:tc>
                <w:tcPr>
                  <w:tcW w:w="3254"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测试台架</w:t>
                  </w:r>
                </w:p>
              </w:tc>
              <w:tc>
                <w:tcPr>
                  <w:tcW w:w="1418" w:type="dxa"/>
                  <w:shd w:val="clear" w:color="auto" w:fill="auto"/>
                  <w:vAlign w:val="center"/>
                </w:tcPr>
                <w:p>
                  <w:pPr>
                    <w:pStyle w:val="40"/>
                    <w:spacing w:line="240" w:lineRule="auto"/>
                    <w:rPr>
                      <w:snapToGrid w:val="0"/>
                      <w:color w:val="auto"/>
                      <w:sz w:val="18"/>
                      <w:szCs w:val="18"/>
                    </w:rPr>
                  </w:pPr>
                  <w:r>
                    <w:rPr>
                      <w:snapToGrid w:val="0"/>
                      <w:color w:val="auto"/>
                      <w:sz w:val="18"/>
                      <w:szCs w:val="18"/>
                    </w:rPr>
                    <w:t>2</w:t>
                  </w:r>
                </w:p>
              </w:tc>
              <w:tc>
                <w:tcPr>
                  <w:tcW w:w="1569"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套</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2189" w:type="dxa"/>
                  <w:shd w:val="clear" w:color="auto" w:fill="auto"/>
                  <w:noWrap/>
                  <w:vAlign w:val="center"/>
                </w:tcPr>
                <w:p>
                  <w:pPr>
                    <w:pStyle w:val="40"/>
                    <w:spacing w:line="240" w:lineRule="auto"/>
                    <w:rPr>
                      <w:snapToGrid w:val="0"/>
                      <w:color w:val="auto"/>
                      <w:sz w:val="18"/>
                      <w:szCs w:val="18"/>
                      <w:lang w:eastAsia="zh-Hans"/>
                    </w:rPr>
                  </w:pPr>
                  <w:r>
                    <w:rPr>
                      <w:rFonts w:hint="eastAsia"/>
                      <w:snapToGrid w:val="0"/>
                      <w:color w:val="auto"/>
                      <w:sz w:val="18"/>
                      <w:szCs w:val="18"/>
                      <w:lang w:eastAsia="zh-Hans"/>
                    </w:rPr>
                    <w:t>试验间废气处理</w:t>
                  </w:r>
                </w:p>
              </w:tc>
              <w:tc>
                <w:tcPr>
                  <w:tcW w:w="3254"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rPr>
                    <w:t>尾气净化装置（</w:t>
                  </w:r>
                  <w:r>
                    <w:rPr>
                      <w:snapToGrid w:val="0"/>
                      <w:color w:val="auto"/>
                      <w:sz w:val="18"/>
                      <w:szCs w:val="18"/>
                    </w:rPr>
                    <w:t>DOC+POC +SCR</w:t>
                  </w:r>
                  <w:r>
                    <w:rPr>
                      <w:rFonts w:hint="eastAsia"/>
                      <w:snapToGrid w:val="0"/>
                      <w:color w:val="auto"/>
                      <w:sz w:val="18"/>
                      <w:szCs w:val="18"/>
                    </w:rPr>
                    <w:t>）</w:t>
                  </w:r>
                </w:p>
              </w:tc>
              <w:tc>
                <w:tcPr>
                  <w:tcW w:w="1418" w:type="dxa"/>
                  <w:shd w:val="clear" w:color="auto" w:fill="auto"/>
                  <w:vAlign w:val="center"/>
                </w:tcPr>
                <w:p>
                  <w:pPr>
                    <w:pStyle w:val="40"/>
                    <w:spacing w:line="240" w:lineRule="auto"/>
                    <w:rPr>
                      <w:snapToGrid w:val="0"/>
                      <w:color w:val="auto"/>
                      <w:sz w:val="18"/>
                      <w:szCs w:val="18"/>
                    </w:rPr>
                  </w:pPr>
                  <w:r>
                    <w:rPr>
                      <w:snapToGrid w:val="0"/>
                      <w:color w:val="auto"/>
                      <w:sz w:val="18"/>
                      <w:szCs w:val="18"/>
                      <w:lang w:eastAsia="zh-Hans"/>
                    </w:rPr>
                    <w:t>1</w:t>
                  </w:r>
                </w:p>
              </w:tc>
              <w:tc>
                <w:tcPr>
                  <w:tcW w:w="1569" w:type="dxa"/>
                  <w:shd w:val="clear" w:color="auto" w:fill="auto"/>
                  <w:vAlign w:val="center"/>
                </w:tcPr>
                <w:p>
                  <w:pPr>
                    <w:pStyle w:val="40"/>
                    <w:spacing w:line="240" w:lineRule="auto"/>
                    <w:rPr>
                      <w:snapToGrid w:val="0"/>
                      <w:color w:val="auto"/>
                      <w:sz w:val="18"/>
                      <w:szCs w:val="18"/>
                    </w:rPr>
                  </w:pPr>
                  <w:r>
                    <w:rPr>
                      <w:rFonts w:hint="eastAsia"/>
                      <w:snapToGrid w:val="0"/>
                      <w:color w:val="auto"/>
                      <w:sz w:val="18"/>
                      <w:szCs w:val="18"/>
                      <w:lang w:eastAsia="zh-Hans"/>
                    </w:rPr>
                    <w:t>套</w:t>
                  </w:r>
                </w:p>
              </w:tc>
            </w:tr>
          </w:tbl>
          <w:p>
            <w:pPr>
              <w:spacing w:line="360" w:lineRule="exact"/>
              <w:jc w:val="both"/>
              <w:rPr>
                <w:rFonts w:ascii="宋体" w:hAnsi="宋体" w:eastAsia="宋体"/>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9" w:hRule="atLeast"/>
          <w:jc w:val="center"/>
        </w:trPr>
        <w:tc>
          <w:tcPr>
            <w:tcW w:w="9008" w:type="dxa"/>
          </w:tcPr>
          <w:p>
            <w:pPr>
              <w:spacing w:before="48" w:beforeLines="20" w:after="0"/>
              <w:rPr>
                <w:color w:val="auto"/>
              </w:rPr>
            </w:pPr>
            <w:r>
              <w:rPr>
                <w:rFonts w:hint="eastAsia"/>
                <w:color w:val="auto"/>
              </w:rPr>
              <w:t>原辅材料消耗及水平衡：</w:t>
            </w:r>
          </w:p>
          <w:p>
            <w:pPr>
              <w:spacing w:after="0" w:line="440" w:lineRule="exact"/>
              <w:rPr>
                <w:rFonts w:ascii="Times New Roman" w:hAnsi="Times New Roman" w:cs="Times New Roman"/>
                <w:color w:val="auto"/>
              </w:rPr>
            </w:pPr>
            <w:r>
              <w:rPr>
                <w:rFonts w:ascii="Times New Roman" w:hAnsi="Times New Roman" w:cs="Times New Roman"/>
                <w:color w:val="auto"/>
              </w:rPr>
              <w:t>1. 主要原辅材料及燃料</w:t>
            </w:r>
          </w:p>
          <w:p>
            <w:pPr>
              <w:spacing w:after="0" w:line="440" w:lineRule="exact"/>
              <w:ind w:firstLine="420" w:firstLineChars="200"/>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本项目天然气发动机冷态试验采用电能驱动发动机进行检测试验，不消耗燃料。天然气发动机热试消耗原料主要为天然气</w:t>
            </w:r>
            <w:r>
              <w:rPr>
                <w:rFonts w:ascii="Times New Roman" w:hAnsi="Times New Roman" w:cs="Times New Roman" w:eastAsiaTheme="minorEastAsia"/>
                <w:color w:val="auto"/>
                <w:sz w:val="21"/>
                <w:szCs w:val="21"/>
                <w:lang w:eastAsia="zh-Hans"/>
              </w:rPr>
              <w:t>，单台测试台架消耗天然气174Nm</w:t>
            </w:r>
            <w:r>
              <w:rPr>
                <w:rFonts w:ascii="Times New Roman" w:hAnsi="Times New Roman" w:cs="Times New Roman" w:eastAsiaTheme="minorEastAsia"/>
                <w:color w:val="auto"/>
                <w:sz w:val="21"/>
                <w:szCs w:val="21"/>
                <w:vertAlign w:val="superscript"/>
                <w:lang w:eastAsia="zh-Hans"/>
              </w:rPr>
              <w:t>3</w:t>
            </w:r>
            <w:r>
              <w:rPr>
                <w:rFonts w:ascii="Times New Roman" w:hAnsi="Times New Roman" w:cs="Times New Roman" w:eastAsiaTheme="minorEastAsia"/>
                <w:color w:val="auto"/>
                <w:sz w:val="21"/>
                <w:szCs w:val="21"/>
                <w:lang w:eastAsia="zh-Hans"/>
              </w:rPr>
              <w:t>/h</w:t>
            </w:r>
            <w:r>
              <w:rPr>
                <w:rFonts w:ascii="Times New Roman" w:hAnsi="Times New Roman" w:cs="Times New Roman" w:eastAsiaTheme="minorEastAsia"/>
                <w:color w:val="auto"/>
                <w:sz w:val="21"/>
                <w:szCs w:val="21"/>
              </w:rPr>
              <w:t>，单台测试时间为18min</w:t>
            </w:r>
            <w:r>
              <w:rPr>
                <w:rFonts w:ascii="Times New Roman" w:hAnsi="Times New Roman" w:cs="Times New Roman" w:eastAsiaTheme="minorEastAsia"/>
                <w:color w:val="auto"/>
                <w:sz w:val="21"/>
                <w:szCs w:val="21"/>
                <w:lang w:eastAsia="zh-Hans"/>
              </w:rPr>
              <w:t>，合计消耗</w:t>
            </w:r>
            <w:r>
              <w:rPr>
                <w:rFonts w:ascii="Times New Roman" w:hAnsi="Times New Roman" w:cs="Times New Roman" w:eastAsiaTheme="minorEastAsia"/>
                <w:color w:val="auto"/>
                <w:sz w:val="21"/>
                <w:szCs w:val="21"/>
              </w:rPr>
              <w:t>45.3</w:t>
            </w:r>
            <w:r>
              <w:rPr>
                <w:rFonts w:ascii="Times New Roman" w:hAnsi="Times New Roman" w:cs="Times New Roman" w:eastAsiaTheme="minorEastAsia"/>
                <w:color w:val="auto"/>
                <w:sz w:val="21"/>
                <w:szCs w:val="21"/>
                <w:lang w:eastAsia="zh-Hans"/>
              </w:rPr>
              <w:t>万Nm</w:t>
            </w:r>
            <w:r>
              <w:rPr>
                <w:rFonts w:ascii="Times New Roman" w:hAnsi="Times New Roman" w:cs="Times New Roman" w:eastAsiaTheme="minorEastAsia"/>
                <w:color w:val="auto"/>
                <w:sz w:val="21"/>
                <w:szCs w:val="21"/>
                <w:vertAlign w:val="superscript"/>
                <w:lang w:eastAsia="zh-Hans"/>
              </w:rPr>
              <w:t>3</w:t>
            </w:r>
            <w:r>
              <w:rPr>
                <w:rFonts w:ascii="Times New Roman" w:hAnsi="Times New Roman" w:cs="Times New Roman" w:eastAsiaTheme="minorEastAsia"/>
                <w:color w:val="auto"/>
                <w:sz w:val="21"/>
                <w:szCs w:val="21"/>
                <w:lang w:eastAsia="zh-Hans"/>
              </w:rPr>
              <w:t>/a</w:t>
            </w:r>
            <w:r>
              <w:rPr>
                <w:rFonts w:ascii="Times New Roman" w:hAnsi="Times New Roman" w:cs="Times New Roman" w:eastAsiaTheme="minorEastAsia"/>
                <w:color w:val="auto"/>
                <w:sz w:val="21"/>
                <w:szCs w:val="21"/>
              </w:rPr>
              <w:t>；尾气净化装置中SCR脱硝装置中尿素使用量单台用量0.7kg左右，合计6.07t/a。</w:t>
            </w:r>
          </w:p>
          <w:p>
            <w:pPr>
              <w:spacing w:after="0" w:line="440" w:lineRule="exact"/>
              <w:rPr>
                <w:rFonts w:ascii="Times New Roman" w:hAnsi="Times New Roman" w:cs="Times New Roman"/>
                <w:color w:val="auto"/>
              </w:rPr>
            </w:pPr>
            <w:r>
              <w:rPr>
                <w:rFonts w:ascii="Times New Roman" w:hAnsi="Times New Roman" w:cs="Times New Roman"/>
                <w:color w:val="auto"/>
              </w:rPr>
              <w:t>2. 水源及水平衡</w:t>
            </w:r>
          </w:p>
          <w:p>
            <w:pPr>
              <w:spacing w:after="0" w:line="440" w:lineRule="exact"/>
              <w:ind w:firstLine="420" w:firstLineChars="200"/>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本项目天然气发动机试验过程不用水。本项目人员全部为福田康明斯公司内部调配，公司生活用水量不增加。</w:t>
            </w: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3"/>
              <w:rPr>
                <w:color w:val="auto"/>
              </w:rPr>
            </w:pPr>
          </w:p>
          <w:p>
            <w:pPr>
              <w:pStyle w:val="2"/>
              <w:rPr>
                <w:color w:val="auto"/>
              </w:rPr>
            </w:pPr>
          </w:p>
          <w:p>
            <w:pPr>
              <w:pStyle w:val="3"/>
              <w:rPr>
                <w:color w:val="auto"/>
              </w:rPr>
            </w:pPr>
          </w:p>
          <w:p>
            <w:pPr>
              <w:rPr>
                <w:color w:val="auto"/>
              </w:rPr>
            </w:pPr>
          </w:p>
          <w:p>
            <w:pPr>
              <w:pStyle w:val="2"/>
              <w:spacing w:before="0" w:after="0" w:line="240" w:lineRule="auto"/>
              <w:rPr>
                <w:color w:val="auto"/>
              </w:rPr>
            </w:pPr>
          </w:p>
        </w:tc>
      </w:tr>
    </w:tbl>
    <w:p>
      <w:pPr>
        <w:spacing w:line="360" w:lineRule="auto"/>
        <w:rPr>
          <w:rFonts w:eastAsia="仿宋_GB2312"/>
          <w:color w:val="auto"/>
          <w:sz w:val="21"/>
          <w:szCs w:val="21"/>
        </w:rPr>
        <w:sectPr>
          <w:footerReference r:id="rId5" w:type="default"/>
          <w:pgSz w:w="11906" w:h="16838"/>
          <w:pgMar w:top="1440" w:right="1800" w:bottom="1440" w:left="1800" w:header="708" w:footer="708" w:gutter="0"/>
          <w:pgNumType w:start="1"/>
          <w:cols w:space="720" w:num="1"/>
          <w:docGrid w:linePitch="360" w:charSpace="0"/>
        </w:sectPr>
      </w:pPr>
    </w:p>
    <w:p>
      <w:pPr>
        <w:spacing w:after="0"/>
        <w:jc w:val="center"/>
        <w:rPr>
          <w:rFonts w:eastAsia="仿宋_GB2312"/>
          <w:b/>
          <w:color w:val="auto"/>
          <w:sz w:val="21"/>
          <w:szCs w:val="21"/>
        </w:rPr>
        <w:sectPr>
          <w:pgSz w:w="16838" w:h="11906" w:orient="landscape"/>
          <w:pgMar w:top="1797" w:right="1440" w:bottom="1797" w:left="1440" w:header="709" w:footer="709" w:gutter="0"/>
          <w:cols w:space="720" w:num="1"/>
          <w:docGrid w:linePitch="360" w:charSpace="0"/>
        </w:sectPr>
      </w:pPr>
      <w:r>
        <w:rPr>
          <w:color w:val="auto"/>
        </w:rPr>
        <mc:AlternateContent>
          <mc:Choice Requires="wps">
            <w:drawing>
              <wp:anchor distT="0" distB="0" distL="114300" distR="114300" simplePos="0" relativeHeight="251664384" behindDoc="0" locked="0" layoutInCell="1" allowOverlap="1">
                <wp:simplePos x="0" y="0"/>
                <wp:positionH relativeFrom="column">
                  <wp:posOffset>781050</wp:posOffset>
                </wp:positionH>
                <wp:positionV relativeFrom="paragraph">
                  <wp:posOffset>76835</wp:posOffset>
                </wp:positionV>
                <wp:extent cx="866775" cy="236855"/>
                <wp:effectExtent l="76200" t="0" r="28575" b="277495"/>
                <wp:wrapNone/>
                <wp:docPr id="17" name="圆角矩形标注 17"/>
                <wp:cNvGraphicFramePr/>
                <a:graphic xmlns:a="http://schemas.openxmlformats.org/drawingml/2006/main">
                  <a:graphicData uri="http://schemas.microsoft.com/office/word/2010/wordprocessingShape">
                    <wps:wsp>
                      <wps:cNvSpPr>
                        <a:spLocks noChangeArrowheads="1"/>
                      </wps:cNvSpPr>
                      <wps:spPr bwMode="auto">
                        <a:xfrm>
                          <a:off x="0" y="0"/>
                          <a:ext cx="866775" cy="236855"/>
                        </a:xfrm>
                        <a:prstGeom prst="wedgeRoundRectCallout">
                          <a:avLst>
                            <a:gd name="adj1" fmla="val -54417"/>
                            <a:gd name="adj2" fmla="val 155898"/>
                            <a:gd name="adj3" fmla="val 16667"/>
                          </a:avLst>
                        </a:prstGeom>
                        <a:noFill/>
                        <a:ln w="19050">
                          <a:solidFill>
                            <a:srgbClr val="7030A0"/>
                          </a:solidFill>
                          <a:miter lim="800000"/>
                        </a:ln>
                      </wps:spPr>
                      <wps:txbx>
                        <w:txbxContent>
                          <w:p>
                            <w:pPr>
                              <w:spacing w:line="0" w:lineRule="atLeast"/>
                              <w:rPr>
                                <w:rFonts w:ascii="方正姚体" w:eastAsia="方正姚体"/>
                                <w:b/>
                                <w:color w:val="FF0000"/>
                                <w:szCs w:val="21"/>
                              </w:rPr>
                            </w:pPr>
                            <w:r>
                              <w:rPr>
                                <w:rFonts w:hint="eastAsia" w:ascii="方正姚体" w:eastAsia="方正姚体"/>
                                <w:b/>
                                <w:color w:val="FF0000"/>
                                <w:szCs w:val="21"/>
                              </w:rPr>
                              <w:t>本项目位置</w:t>
                            </w:r>
                          </w:p>
                        </w:txbxContent>
                      </wps:txbx>
                      <wps:bodyPr rot="0" vert="horz" wrap="square" lIns="0" tIns="0" rIns="0" bIns="0" anchor="t" anchorCtr="0" upright="1">
                        <a:noAutofit/>
                      </wps:bodyPr>
                    </wps:wsp>
                  </a:graphicData>
                </a:graphic>
              </wp:anchor>
            </w:drawing>
          </mc:Choice>
          <mc:Fallback>
            <w:pict>
              <v:shape id="_x0000_s1026" o:spid="_x0000_s1026" o:spt="62" type="#_x0000_t62" style="position:absolute;left:0pt;margin-left:61.5pt;margin-top:6.05pt;height:18.65pt;width:68.25pt;z-index:251664384;mso-width-relative:page;mso-height-relative:page;" filled="f" stroked="t" coordsize="21600,21600" o:gfxdata="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C72hh2QAAAAkBAAAPAAAAAAAAAAEA&#10;IAAAACIAAABkcnMvZG93bnJldi54bWxQSwECFAAUAAAACACHTuJA8plUh4ACAADXBAAADgAAAAAA&#10;AAABACAAAAAoAQAAZHJzL2Uyb0RvYy54bWxQSwUGAAAAAAYABgBZAQAAGgYAAAAA&#10;" adj="-954,44474,14400">
                <v:fill on="f" focussize="0,0"/>
                <v:stroke weight="1.5pt" color="#7030A0" miterlimit="8" joinstyle="miter"/>
                <v:imagedata o:title=""/>
                <o:lock v:ext="edit" aspectratio="f"/>
                <v:textbox inset="0mm,0mm,0mm,0mm">
                  <w:txbxContent>
                    <w:p>
                      <w:pPr>
                        <w:spacing w:line="0" w:lineRule="atLeast"/>
                        <w:rPr>
                          <w:rFonts w:ascii="方正姚体" w:eastAsia="方正姚体"/>
                          <w:b/>
                          <w:color w:val="FF0000"/>
                          <w:szCs w:val="21"/>
                        </w:rPr>
                      </w:pPr>
                      <w:r>
                        <w:rPr>
                          <w:rFonts w:hint="eastAsia" w:ascii="方正姚体" w:eastAsia="方正姚体"/>
                          <w:b/>
                          <w:color w:val="FF0000"/>
                          <w:szCs w:val="21"/>
                        </w:rPr>
                        <w:t>本项目位置</w:t>
                      </w:r>
                    </w:p>
                  </w:txbxContent>
                </v:textbox>
              </v:shape>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2345055</wp:posOffset>
                </wp:positionV>
                <wp:extent cx="114300" cy="99060"/>
                <wp:effectExtent l="0" t="0" r="19050" b="15240"/>
                <wp:wrapNone/>
                <wp:docPr id="18" name="椭圆 18"/>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ellipse">
                          <a:avLst/>
                        </a:prstGeom>
                        <a:solidFill>
                          <a:srgbClr val="FF0000"/>
                        </a:solidFill>
                        <a:ln w="9525">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360pt;margin-top:184.65pt;height:7.8pt;width:9pt;z-index:251661312;mso-width-relative:page;mso-height-relative:page;" fillcolor="#FF0000" filled="t" stroked="t" coordsize="21600,21600" o:gfxdata="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gNcpNcAAAALAQAADwAAAAAAAAABACAAAAAiAAAAZHJzL2Rvd25yZXYueG1sUEsBAhQA&#10;FAAAAAgAh07iQAsSVLksAgAAZQQAAA4AAAAAAAAAAQAgAAAAJgEAAGRycy9lMm9Eb2MueG1sUEsF&#10;BgAAAAAGAAYAWQEAAMQFAAAAAA==&#10;">
                <v:fill on="t" focussize="0,0"/>
                <v:stroke color="#FF0000" joinstyle="round"/>
                <v:imagedata o:title=""/>
                <o:lock v:ext="edit" aspectratio="f"/>
              </v:shape>
            </w:pict>
          </mc:Fallback>
        </mc:AlternateContent>
      </w:r>
      <w:r>
        <w:rPr>
          <w:color w:val="auto"/>
        </w:rPr>
        <w:drawing>
          <wp:anchor distT="0" distB="0" distL="114300" distR="114300" simplePos="0" relativeHeight="251660288" behindDoc="0" locked="0" layoutInCell="1" allowOverlap="1">
            <wp:simplePos x="0" y="0"/>
            <wp:positionH relativeFrom="column">
              <wp:posOffset>8311515</wp:posOffset>
            </wp:positionH>
            <wp:positionV relativeFrom="paragraph">
              <wp:posOffset>42545</wp:posOffset>
            </wp:positionV>
            <wp:extent cx="511175" cy="573405"/>
            <wp:effectExtent l="0" t="0" r="3175"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1175" cy="573405"/>
                    </a:xfrm>
                    <a:prstGeom prst="rect">
                      <a:avLst/>
                    </a:prstGeom>
                    <a:noFill/>
                    <a:ln>
                      <a:noFill/>
                    </a:ln>
                  </pic:spPr>
                </pic:pic>
              </a:graphicData>
            </a:graphic>
          </wp:anchor>
        </w:drawing>
      </w:r>
      <w:r>
        <w:rPr>
          <w:color w:val="auto"/>
        </w:rPr>
        <mc:AlternateContent>
          <mc:Choice Requires="wps">
            <w:drawing>
              <wp:anchor distT="0" distB="0" distL="114300" distR="114300" simplePos="0" relativeHeight="251662336" behindDoc="0" locked="0" layoutInCell="1" allowOverlap="1">
                <wp:simplePos x="0" y="0"/>
                <wp:positionH relativeFrom="column">
                  <wp:posOffset>4667250</wp:posOffset>
                </wp:positionH>
                <wp:positionV relativeFrom="paragraph">
                  <wp:posOffset>1423035</wp:posOffset>
                </wp:positionV>
                <wp:extent cx="1285875" cy="512445"/>
                <wp:effectExtent l="38100" t="13335" r="9525" b="445770"/>
                <wp:wrapNone/>
                <wp:docPr id="20" name="圆角矩形标注 20"/>
                <wp:cNvGraphicFramePr/>
                <a:graphic xmlns:a="http://schemas.openxmlformats.org/drawingml/2006/main">
                  <a:graphicData uri="http://schemas.microsoft.com/office/word/2010/wordprocessingShape">
                    <wps:wsp>
                      <wps:cNvSpPr>
                        <a:spLocks noChangeArrowheads="1"/>
                      </wps:cNvSpPr>
                      <wps:spPr bwMode="auto">
                        <a:xfrm>
                          <a:off x="0" y="0"/>
                          <a:ext cx="1285875" cy="512445"/>
                        </a:xfrm>
                        <a:prstGeom prst="wedgeRoundRectCallout">
                          <a:avLst>
                            <a:gd name="adj1" fmla="val -49611"/>
                            <a:gd name="adj2" fmla="val 127681"/>
                            <a:gd name="adj3" fmla="val 16667"/>
                          </a:avLst>
                        </a:prstGeom>
                        <a:noFill/>
                        <a:ln w="19050">
                          <a:solidFill>
                            <a:srgbClr val="FF0000"/>
                          </a:solidFill>
                          <a:miter lim="800000"/>
                        </a:ln>
                      </wps:spPr>
                      <wps:txbx>
                        <w:txbxContent>
                          <w:p>
                            <w:pPr>
                              <w:spacing w:after="0" w:line="0" w:lineRule="atLeast"/>
                              <w:jc w:val="center"/>
                              <w:rPr>
                                <w:rFonts w:ascii="方正姚体" w:eastAsia="方正姚体"/>
                                <w:b/>
                                <w:color w:val="FF0000"/>
                                <w:szCs w:val="21"/>
                              </w:rPr>
                            </w:pPr>
                            <w:r>
                              <w:rPr>
                                <w:rFonts w:ascii="方正姚体" w:eastAsia="方正姚体"/>
                                <w:b/>
                                <w:color w:val="FF0000"/>
                                <w:szCs w:val="21"/>
                              </w:rPr>
                              <w:t>北京福田康明斯</w:t>
                            </w:r>
                          </w:p>
                          <w:p>
                            <w:pPr>
                              <w:spacing w:after="0" w:line="0" w:lineRule="atLeast"/>
                              <w:jc w:val="center"/>
                              <w:rPr>
                                <w:rFonts w:ascii="方正姚体" w:eastAsia="方正姚体"/>
                                <w:b/>
                                <w:color w:val="FF0000"/>
                                <w:szCs w:val="21"/>
                              </w:rPr>
                            </w:pPr>
                            <w:r>
                              <w:rPr>
                                <w:rFonts w:ascii="方正姚体" w:eastAsia="方正姚体"/>
                                <w:b/>
                                <w:color w:val="FF0000"/>
                                <w:szCs w:val="21"/>
                              </w:rPr>
                              <w:t>发动机有限公司</w:t>
                            </w:r>
                          </w:p>
                        </w:txbxContent>
                      </wps:txbx>
                      <wps:bodyPr rot="0" vert="horz" wrap="square" lIns="0" tIns="0" rIns="0" bIns="0" anchor="t" anchorCtr="0" upright="1">
                        <a:noAutofit/>
                      </wps:bodyPr>
                    </wps:wsp>
                  </a:graphicData>
                </a:graphic>
              </wp:anchor>
            </w:drawing>
          </mc:Choice>
          <mc:Fallback>
            <w:pict>
              <v:shape id="_x0000_s1026" o:spid="_x0000_s1026" o:spt="62" type="#_x0000_t62" style="position:absolute;left:0pt;margin-left:367.5pt;margin-top:112.05pt;height:40.35pt;width:101.25pt;z-index:251662336;mso-width-relative:page;mso-height-relative:page;" filled="f" stroked="t" coordsize="21600,21600" o:gfxdata="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3qonYNsAAAALAQAADwAAAAAAAAABACAA&#10;AAAiAAAAZHJzL2Rvd25yZXYueG1sUEsBAhQAFAAAAAgAh07iQKMCrdx8AgAA2AQAAA4AAAAAAAAA&#10;AQAgAAAAKgEAAGRycy9lMm9Eb2MueG1sUEsFBgAAAAAGAAYAWQEAABgGAAAAAA==&#10;" adj="84,38379,14400">
                <v:fill on="f" focussize="0,0"/>
                <v:stroke weight="1.5pt" color="#FF0000" miterlimit="8" joinstyle="miter"/>
                <v:imagedata o:title=""/>
                <o:lock v:ext="edit" aspectratio="f"/>
                <v:textbox inset="0mm,0mm,0mm,0mm">
                  <w:txbxContent>
                    <w:p>
                      <w:pPr>
                        <w:spacing w:after="0" w:line="0" w:lineRule="atLeast"/>
                        <w:jc w:val="center"/>
                        <w:rPr>
                          <w:rFonts w:ascii="方正姚体" w:eastAsia="方正姚体"/>
                          <w:b/>
                          <w:color w:val="FF0000"/>
                          <w:szCs w:val="21"/>
                        </w:rPr>
                      </w:pPr>
                      <w:r>
                        <w:rPr>
                          <w:rFonts w:ascii="方正姚体" w:eastAsia="方正姚体"/>
                          <w:b/>
                          <w:color w:val="FF0000"/>
                          <w:szCs w:val="21"/>
                        </w:rPr>
                        <w:t>北京福田康明斯</w:t>
                      </w:r>
                    </w:p>
                    <w:p>
                      <w:pPr>
                        <w:spacing w:after="0" w:line="0" w:lineRule="atLeast"/>
                        <w:jc w:val="center"/>
                        <w:rPr>
                          <w:rFonts w:ascii="方正姚体" w:eastAsia="方正姚体"/>
                          <w:b/>
                          <w:color w:val="FF0000"/>
                          <w:szCs w:val="21"/>
                        </w:rPr>
                      </w:pPr>
                      <w:r>
                        <w:rPr>
                          <w:rFonts w:ascii="方正姚体" w:eastAsia="方正姚体"/>
                          <w:b/>
                          <w:color w:val="FF0000"/>
                          <w:szCs w:val="21"/>
                        </w:rPr>
                        <w:t>发动机有限公司</w:t>
                      </w:r>
                    </w:p>
                  </w:txbxContent>
                </v:textbox>
              </v:shape>
            </w:pict>
          </mc:Fallback>
        </mc:AlternateContent>
      </w:r>
      <w:r>
        <w:rPr>
          <w:color w:val="auto"/>
        </w:rPr>
        <w:drawing>
          <wp:anchor distT="0" distB="0" distL="114300" distR="114300" simplePos="0" relativeHeight="251663360" behindDoc="0" locked="0" layoutInCell="1" allowOverlap="1">
            <wp:simplePos x="0" y="0"/>
            <wp:positionH relativeFrom="column">
              <wp:posOffset>28575</wp:posOffset>
            </wp:positionH>
            <wp:positionV relativeFrom="paragraph">
              <wp:posOffset>42545</wp:posOffset>
            </wp:positionV>
            <wp:extent cx="1485900" cy="1600200"/>
            <wp:effectExtent l="0" t="0" r="0" b="0"/>
            <wp:wrapNone/>
            <wp:docPr id="14" name="图片 1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85900" cy="1600200"/>
                    </a:xfrm>
                    <a:prstGeom prst="rect">
                      <a:avLst/>
                    </a:prstGeom>
                    <a:noFill/>
                    <a:ln>
                      <a:noFill/>
                    </a:ln>
                  </pic:spPr>
                </pic:pic>
              </a:graphicData>
            </a:graphic>
          </wp:anchor>
        </w:drawing>
      </w:r>
      <w:r>
        <w:rPr>
          <w:color w:val="auto"/>
        </w:rPr>
        <w:drawing>
          <wp:inline distT="0" distB="0" distL="0" distR="0">
            <wp:extent cx="8820150" cy="4905375"/>
            <wp:effectExtent l="19050" t="19050" r="19050" b="285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820150" cy="4905375"/>
                    </a:xfrm>
                    <a:prstGeom prst="rect">
                      <a:avLst/>
                    </a:prstGeom>
                    <a:noFill/>
                    <a:ln w="19050" cmpd="dbl">
                      <a:solidFill>
                        <a:srgbClr val="000000"/>
                      </a:solidFill>
                      <a:miter lim="800000"/>
                      <a:headEnd/>
                      <a:tailEnd/>
                    </a:ln>
                    <a:effectLst/>
                  </pic:spPr>
                </pic:pic>
              </a:graphicData>
            </a:graphic>
          </wp:inline>
        </w:drawing>
      </w:r>
      <w:r>
        <w:rPr>
          <w:rFonts w:ascii="Times New Roman" w:hAnsi="Times New Roman" w:eastAsia="黑体" w:cs="Times New Roman"/>
          <w:color w:val="auto"/>
          <w:sz w:val="21"/>
          <w:szCs w:val="21"/>
        </w:rPr>
        <w:t>图2-1 建设项目地理位置示意图</w:t>
      </w:r>
    </w:p>
    <w:p>
      <w:pPr>
        <w:adjustRightInd/>
        <w:snapToGrid/>
        <w:spacing w:after="0"/>
        <w:rPr>
          <w:rFonts w:eastAsia="仿宋_GB2312"/>
          <w:b/>
          <w:color w:val="auto"/>
          <w:sz w:val="21"/>
          <w:szCs w:val="21"/>
        </w:rPr>
      </w:pPr>
    </w:p>
    <w:p>
      <w:pPr>
        <w:adjustRightInd/>
        <w:snapToGrid/>
        <w:spacing w:after="0"/>
        <w:rPr>
          <w:rFonts w:eastAsia="仿宋_GB2312"/>
          <w:b/>
          <w:color w:val="auto"/>
          <w:sz w:val="21"/>
          <w:szCs w:val="21"/>
        </w:rPr>
      </w:pPr>
    </w:p>
    <w:p>
      <w:pPr>
        <w:adjustRightInd/>
        <w:snapToGrid/>
        <w:spacing w:after="0"/>
        <w:rPr>
          <w:rFonts w:eastAsia="仿宋_GB2312"/>
          <w:b/>
          <w:color w:val="auto"/>
          <w:sz w:val="21"/>
          <w:szCs w:val="21"/>
        </w:rPr>
      </w:pPr>
    </w:p>
    <w:p>
      <w:pPr>
        <w:adjustRightInd/>
        <w:snapToGrid/>
        <w:spacing w:after="0"/>
        <w:rPr>
          <w:rFonts w:eastAsia="仿宋_GB2312"/>
          <w:b/>
          <w:color w:val="auto"/>
          <w:sz w:val="21"/>
          <w:szCs w:val="21"/>
        </w:rPr>
      </w:pPr>
      <w:r>
        <w:rPr>
          <w:color w:val="auto"/>
        </w:rPr>
        <w:drawing>
          <wp:inline distT="0" distB="0" distL="0" distR="0">
            <wp:extent cx="5274310" cy="5843905"/>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74310" cy="5843862"/>
                    </a:xfrm>
                    <a:prstGeom prst="rect">
                      <a:avLst/>
                    </a:prstGeom>
                  </pic:spPr>
                </pic:pic>
              </a:graphicData>
            </a:graphic>
          </wp:inline>
        </w:drawing>
      </w:r>
    </w:p>
    <w:p>
      <w:pPr>
        <w:adjustRightInd/>
        <w:snapToGrid/>
        <w:spacing w:after="0"/>
        <w:rPr>
          <w:rFonts w:eastAsia="仿宋_GB2312"/>
          <w:b/>
          <w:color w:val="auto"/>
          <w:sz w:val="21"/>
          <w:szCs w:val="21"/>
        </w:rPr>
      </w:pPr>
    </w:p>
    <w:p>
      <w:pPr>
        <w:adjustRightInd/>
        <w:snapToGrid/>
        <w:spacing w:after="0"/>
        <w:jc w:val="center"/>
        <w:rPr>
          <w:rFonts w:ascii="Times New Roman" w:hAnsi="Times New Roman" w:eastAsia="仿宋_GB2312" w:cs="Times New Roman"/>
          <w:b/>
          <w:color w:val="auto"/>
          <w:sz w:val="21"/>
          <w:szCs w:val="21"/>
        </w:rPr>
      </w:pPr>
      <w:r>
        <w:rPr>
          <w:rFonts w:ascii="Times New Roman" w:hAnsi="Times New Roman" w:eastAsia="黑体" w:cs="Times New Roman"/>
          <w:color w:val="auto"/>
          <w:sz w:val="21"/>
          <w:szCs w:val="21"/>
        </w:rPr>
        <w:t>图2-2 本次验收内容在北京福田康明斯发动机有限公司厂区的相对位置</w:t>
      </w:r>
    </w:p>
    <w:p>
      <w:pPr>
        <w:adjustRightInd/>
        <w:snapToGrid/>
        <w:spacing w:after="0"/>
        <w:rPr>
          <w:rFonts w:eastAsia="仿宋_GB2312"/>
          <w:b/>
          <w:color w:val="auto"/>
          <w:sz w:val="21"/>
          <w:szCs w:val="21"/>
        </w:rPr>
      </w:pPr>
      <w:r>
        <w:rPr>
          <w:rFonts w:eastAsia="仿宋_GB2312"/>
          <w:b/>
          <w:color w:val="auto"/>
          <w:sz w:val="21"/>
          <w:szCs w:val="21"/>
        </w:rPr>
        <w:br w:type="page"/>
      </w:r>
    </w:p>
    <w:p>
      <w:pPr>
        <w:adjustRightInd/>
        <w:snapToGrid/>
        <w:spacing w:after="0"/>
        <w:jc w:val="center"/>
        <w:rPr>
          <w:rFonts w:eastAsia="仿宋_GB2312"/>
          <w:b/>
          <w:color w:val="auto"/>
          <w:sz w:val="21"/>
          <w:szCs w:val="21"/>
        </w:rPr>
      </w:pPr>
    </w:p>
    <w:p>
      <w:pPr>
        <w:adjustRightInd/>
        <w:snapToGrid/>
        <w:spacing w:after="0"/>
        <w:jc w:val="center"/>
        <w:rPr>
          <w:rFonts w:eastAsia="仿宋_GB2312"/>
          <w:b/>
          <w:color w:val="auto"/>
          <w:sz w:val="21"/>
          <w:szCs w:val="21"/>
        </w:rPr>
      </w:pPr>
    </w:p>
    <w:p>
      <w:pPr>
        <w:adjustRightInd/>
        <w:snapToGrid/>
        <w:spacing w:after="0"/>
        <w:jc w:val="center"/>
        <w:rPr>
          <w:rFonts w:eastAsia="仿宋_GB2312"/>
          <w:b/>
          <w:color w:val="auto"/>
          <w:sz w:val="21"/>
          <w:szCs w:val="21"/>
        </w:rPr>
      </w:pPr>
    </w:p>
    <w:p>
      <w:pPr>
        <w:adjustRightInd/>
        <w:snapToGrid/>
        <w:spacing w:after="0"/>
        <w:jc w:val="center"/>
        <w:rPr>
          <w:rFonts w:eastAsia="仿宋_GB2312"/>
          <w:b/>
          <w:color w:val="auto"/>
          <w:sz w:val="21"/>
          <w:szCs w:val="21"/>
        </w:rPr>
      </w:pPr>
    </w:p>
    <w:p>
      <w:pPr>
        <w:adjustRightInd/>
        <w:snapToGrid/>
        <w:spacing w:after="0"/>
        <w:jc w:val="center"/>
        <w:rPr>
          <w:rFonts w:eastAsia="仿宋_GB2312"/>
          <w:b/>
          <w:color w:val="auto"/>
          <w:sz w:val="21"/>
          <w:szCs w:val="21"/>
        </w:rPr>
      </w:pPr>
    </w:p>
    <w:p>
      <w:pPr>
        <w:adjustRightInd/>
        <w:snapToGrid/>
        <w:spacing w:after="0"/>
        <w:jc w:val="center"/>
        <w:rPr>
          <w:rFonts w:eastAsia="仿宋_GB2312"/>
          <w:b/>
          <w:color w:val="auto"/>
          <w:sz w:val="21"/>
          <w:szCs w:val="21"/>
        </w:rPr>
      </w:pPr>
      <w:r>
        <w:rPr>
          <w:color w:val="auto"/>
        </w:rPr>
        <w:drawing>
          <wp:inline distT="0" distB="0" distL="114300" distR="114300">
            <wp:extent cx="5273040" cy="4225290"/>
            <wp:effectExtent l="0" t="0" r="10160" b="165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2"/>
                    <a:stretch>
                      <a:fillRect/>
                    </a:stretch>
                  </pic:blipFill>
                  <pic:spPr>
                    <a:xfrm>
                      <a:off x="0" y="0"/>
                      <a:ext cx="5273040" cy="4225290"/>
                    </a:xfrm>
                    <a:prstGeom prst="rect">
                      <a:avLst/>
                    </a:prstGeom>
                    <a:noFill/>
                    <a:ln w="9525">
                      <a:noFill/>
                    </a:ln>
                  </pic:spPr>
                </pic:pic>
              </a:graphicData>
            </a:graphic>
          </wp:inline>
        </w:drawing>
      </w:r>
    </w:p>
    <w:p>
      <w:pPr>
        <w:adjustRightInd/>
        <w:snapToGrid/>
        <w:spacing w:after="0"/>
        <w:jc w:val="center"/>
        <w:rPr>
          <w:rFonts w:ascii="Times New Roman" w:hAnsi="Times New Roman" w:eastAsia="黑体" w:cs="Times New Roman"/>
          <w:color w:val="auto"/>
          <w:sz w:val="21"/>
          <w:szCs w:val="21"/>
        </w:rPr>
      </w:pPr>
    </w:p>
    <w:p>
      <w:pPr>
        <w:adjustRightInd/>
        <w:snapToGrid/>
        <w:spacing w:after="0"/>
        <w:jc w:val="center"/>
        <w:rPr>
          <w:rFonts w:eastAsia="仿宋_GB2312"/>
          <w:b/>
          <w:color w:val="auto"/>
          <w:sz w:val="21"/>
          <w:szCs w:val="21"/>
        </w:rPr>
      </w:pPr>
      <w:r>
        <w:rPr>
          <w:rFonts w:ascii="Times New Roman" w:hAnsi="Times New Roman" w:eastAsia="黑体" w:cs="Times New Roman"/>
          <w:color w:val="auto"/>
          <w:sz w:val="21"/>
          <w:szCs w:val="21"/>
        </w:rPr>
        <w:t>图2-3 本</w:t>
      </w:r>
      <w:r>
        <w:rPr>
          <w:rFonts w:hint="eastAsia" w:eastAsia="黑体"/>
          <w:color w:val="auto"/>
          <w:sz w:val="21"/>
          <w:szCs w:val="21"/>
        </w:rPr>
        <w:t>项目平面布局图</w:t>
      </w:r>
      <w:r>
        <w:rPr>
          <w:rFonts w:eastAsia="仿宋_GB2312"/>
          <w:b/>
          <w:color w:val="auto"/>
          <w:sz w:val="21"/>
          <w:szCs w:val="21"/>
        </w:rPr>
        <w:br w:type="page"/>
      </w:r>
    </w:p>
    <w:tbl>
      <w:tblPr>
        <w:tblStyle w:val="18"/>
        <w:tblW w:w="90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28" w:type="dxa"/>
          </w:tcPr>
          <w:p>
            <w:pPr>
              <w:spacing w:before="48" w:beforeLines="20" w:after="0"/>
              <w:rPr>
                <w:color w:val="auto"/>
              </w:rPr>
            </w:pPr>
            <w:r>
              <w:rPr>
                <w:rFonts w:hint="eastAsia"/>
                <w:color w:val="auto"/>
              </w:rPr>
              <w:t>主要工艺流程及产污环节（附处理工艺流程图，标出产污节点）</w:t>
            </w:r>
          </w:p>
          <w:p>
            <w:pPr>
              <w:spacing w:after="0" w:line="540" w:lineRule="exact"/>
              <w:ind w:firstLine="420" w:firstLineChars="200"/>
              <w:rPr>
                <w:rFonts w:ascii="Times New Roman Regular" w:hAnsi="Times New Roman Regular" w:eastAsia="宋体" w:cs="Times New Roman Regular"/>
                <w:color w:val="auto"/>
                <w:sz w:val="21"/>
                <w:szCs w:val="21"/>
              </w:rPr>
            </w:pPr>
            <w:r>
              <w:rPr>
                <w:rFonts w:ascii="Times New Roman Regular" w:hAnsi="Times New Roman Regular" w:eastAsia="宋体" w:cs="Times New Roman Regular"/>
                <w:color w:val="auto"/>
                <w:sz w:val="21"/>
                <w:szCs w:val="21"/>
              </w:rPr>
              <w:t>（1）工艺流程</w:t>
            </w:r>
          </w:p>
          <w:p>
            <w:pPr>
              <w:spacing w:after="0" w:line="500" w:lineRule="exact"/>
              <w:ind w:firstLine="420" w:firstLineChars="200"/>
              <w:rPr>
                <w:rFonts w:ascii="Times New Roman Regular" w:hAnsi="Times New Roman Regular" w:eastAsia="宋体" w:cs="Times New Roman Regular"/>
                <w:color w:val="auto"/>
                <w:sz w:val="21"/>
                <w:szCs w:val="21"/>
              </w:rPr>
            </w:pPr>
            <w:r>
              <w:rPr>
                <w:rFonts w:ascii="Times New Roman Regular" w:hAnsi="Times New Roman Regular" w:eastAsia="宋体" w:cs="Times New Roman Regular"/>
                <w:color w:val="auto"/>
                <w:sz w:val="21"/>
                <w:szCs w:val="21"/>
              </w:rPr>
              <w:t>发动机通过线体输送到天然气台架线体缓存区，用AGV（自动运输车）运送到测试台架外的等待线体，线体把发动机运送到台架，按自动测试程序测试发动机。将发动机与测试托盘进行连接并对中将预装好的小车与台架进行连接，包括测量传感器、燃气管、水管连接等，加注天然气，查看试验数据，导出或出具试验报告试验下发负责人查看试验数据，判断试验是否有效，如无效，检查试验设备和发动机状态是否正常，判断是否需要进行重测操作；试验结束，发动机下台架、下托盘，恢复附装件，交还给试验项目负责人作后续处理完成试验任务。</w:t>
            </w:r>
          </w:p>
          <w:p>
            <w:pPr>
              <w:spacing w:after="0" w:line="500" w:lineRule="exact"/>
              <w:ind w:firstLine="420" w:firstLineChars="200"/>
              <w:rPr>
                <w:rFonts w:ascii="Times New Roman Regular" w:hAnsi="Times New Roman Regular" w:eastAsia="宋体" w:cs="Times New Roman Regular"/>
                <w:color w:val="auto"/>
                <w:sz w:val="21"/>
                <w:szCs w:val="21"/>
              </w:rPr>
            </w:pPr>
            <w:r>
              <w:rPr>
                <w:rFonts w:ascii="Times New Roman Regular" w:hAnsi="Times New Roman Regular" w:eastAsia="宋体" w:cs="Times New Roman Regular"/>
                <w:color w:val="auto"/>
                <w:sz w:val="21"/>
                <w:szCs w:val="21"/>
              </w:rPr>
              <w:t>发动机测试工艺流程示意图</w:t>
            </w:r>
            <w:r>
              <w:rPr>
                <w:rFonts w:ascii="Times New Roman" w:hAnsi="Times New Roman" w:eastAsia="宋体" w:cs="Times New Roman"/>
                <w:color w:val="auto"/>
                <w:sz w:val="21"/>
                <w:szCs w:val="21"/>
              </w:rPr>
              <w:t>见图2-1。</w:t>
            </w:r>
          </w:p>
          <w:p>
            <w:pPr>
              <w:ind w:firstLine="440" w:firstLineChars="200"/>
              <w:jc w:val="center"/>
              <w:rPr>
                <w:color w:val="auto"/>
              </w:rPr>
            </w:pPr>
            <w:r>
              <w:rPr>
                <w:color w:val="auto"/>
              </w:rPr>
              <w:object>
                <v:shape id="_x0000_i1025" o:spt="75" type="#_x0000_t75" style="height:312pt;width:138.75pt;" o:ole="t" filled="f" o:preferrelative="t" stroked="f" coordsize="21600,21600">
                  <v:path/>
                  <v:fill on="f" focussize="0,0"/>
                  <v:stroke on="f" joinstyle="miter"/>
                  <v:imagedata r:id="rId14" o:title=""/>
                  <o:lock v:ext="edit" aspectratio="t"/>
                  <w10:wrap type="none"/>
                  <w10:anchorlock/>
                </v:shape>
                <o:OLEObject Type="Embed" ProgID="Visio.Drawing.11" ShapeID="_x0000_i1025" DrawAspect="Content" ObjectID="_1468075725" r:id="rId13">
                  <o:LockedField>false</o:LockedField>
                </o:OLEObject>
              </w:object>
            </w:r>
          </w:p>
          <w:p>
            <w:pPr>
              <w:spacing w:before="48" w:beforeLines="20" w:after="0" w:line="360" w:lineRule="auto"/>
              <w:jc w:val="center"/>
              <w:rPr>
                <w:color w:val="auto"/>
              </w:rPr>
            </w:pPr>
          </w:p>
          <w:p>
            <w:pPr>
              <w:spacing w:before="48" w:beforeLines="20" w:after="0"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图2-4发动机测试工艺流程示意图</w:t>
            </w:r>
          </w:p>
          <w:p>
            <w:pPr>
              <w:spacing w:after="0" w:line="50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（2）产污环节</w:t>
            </w:r>
          </w:p>
          <w:p>
            <w:pPr>
              <w:spacing w:after="0" w:line="50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发动机出厂试验采用冷试加热试工艺（100%冷态试验，20%热态试验）。采用自动化的输送系统来实现总装至试验和试验至附装之间的工件输送，在试验间外配有试验快接托盘预连接系统，以提高台架利用效率。</w:t>
            </w:r>
          </w:p>
          <w:p>
            <w:pPr>
              <w:spacing w:after="0" w:line="500" w:lineRule="exact"/>
              <w:ind w:firstLine="420" w:firstLineChars="200"/>
              <w:rPr>
                <w:rFonts w:ascii="Times New Roman Regular" w:hAnsi="Times New Roman Regular" w:eastAsia="宋体" w:cs="Times New Roman Regular"/>
                <w:color w:val="auto"/>
                <w:sz w:val="21"/>
                <w:szCs w:val="21"/>
              </w:rPr>
            </w:pPr>
            <w:r>
              <w:rPr>
                <w:rFonts w:ascii="Times New Roman Regular" w:hAnsi="Times New Roman Regular" w:eastAsia="宋体" w:cs="Times New Roman Regular"/>
                <w:color w:val="auto"/>
                <w:sz w:val="21"/>
                <w:szCs w:val="21"/>
              </w:rPr>
              <w:t>冷态试验采用电能驱动发动机进行检测试</w:t>
            </w:r>
            <w:r>
              <w:rPr>
                <w:rFonts w:ascii="Times New Roman" w:hAnsi="Times New Roman" w:eastAsia="宋体" w:cs="Times New Roman"/>
                <w:color w:val="auto"/>
                <w:sz w:val="21"/>
                <w:szCs w:val="21"/>
              </w:rPr>
              <w:t>验，不消耗燃料，不产生颗粒物、NOx等由燃料燃烧产生的污染物。天然气发动机热试废气经过尾气净化装置，包括DOC（氧化型催化转化器）+POC （颗粒物氧化催化转化器）+SCR（脱硝装置）三个模块分别处理挥发性有机物、颗粒物以及氮氧化物，处理后达标排放，排气筒高度20m。</w:t>
            </w:r>
          </w:p>
          <w:p>
            <w:pPr>
              <w:spacing w:after="0" w:line="500" w:lineRule="exact"/>
              <w:ind w:firstLine="420" w:firstLineChars="200"/>
              <w:rPr>
                <w:rFonts w:ascii="Times New Roman" w:hAnsi="Times New Roman" w:eastAsia="宋体" w:cs="Times New Roman"/>
                <w:color w:val="auto"/>
                <w:sz w:val="21"/>
                <w:szCs w:val="21"/>
              </w:rPr>
            </w:pPr>
            <w:r>
              <w:rPr>
                <w:rFonts w:ascii="Times New Roman Regular" w:hAnsi="Times New Roman Regular" w:eastAsia="宋体" w:cs="Times New Roman Regular"/>
                <w:color w:val="auto"/>
                <w:sz w:val="21"/>
                <w:szCs w:val="21"/>
              </w:rPr>
              <w:pict>
                <v:shape id="_x0000_s1026" o:spid="_x0000_s1026" o:spt="75" type="#_x0000_t75" style="position:absolute;left:0pt;margin-left:51.8pt;margin-top:15.95pt;height:129pt;width:386.85pt;z-index:251676672;mso-width-relative:page;mso-height-relative:page;" o:ole="t" filled="f" o:preferrelative="t" stroked="f" coordsize="21600,21600">
                  <v:path/>
                  <v:fill on="f" focussize="0,0"/>
                  <v:stroke on="f" joinstyle="miter"/>
                  <v:imagedata r:id="rId16" o:title=""/>
                  <o:lock v:ext="edit" aspectratio="t"/>
                </v:shape>
                <o:OLEObject Type="Embed" ProgID="Visio.Drawing.11" ShapeID="_x0000_s1026" DrawAspect="Content" ObjectID="_1468075726" r:id="rId15">
                  <o:LockedField>false</o:LockedField>
                </o:OLEObject>
              </w:pict>
            </w:r>
            <w:r>
              <w:rPr>
                <w:rFonts w:ascii="Times New Roman Regular" w:hAnsi="Times New Roman Regular" w:eastAsia="宋体" w:cs="Times New Roman Regular"/>
                <w:color w:val="auto"/>
                <w:sz w:val="21"/>
                <w:szCs w:val="21"/>
              </w:rPr>
              <w:t>天然气发动机热试废气处理工艺见</w:t>
            </w:r>
            <w:r>
              <w:rPr>
                <w:rFonts w:ascii="Times New Roman" w:hAnsi="Times New Roman" w:eastAsia="宋体" w:cs="Times New Roman"/>
                <w:color w:val="auto"/>
                <w:sz w:val="21"/>
                <w:szCs w:val="21"/>
              </w:rPr>
              <w:t>图2-2。</w:t>
            </w:r>
          </w:p>
          <w:p>
            <w:pPr>
              <w:pStyle w:val="2"/>
              <w:jc w:val="center"/>
              <w:rPr>
                <w:color w:val="auto"/>
              </w:rPr>
            </w:pPr>
          </w:p>
          <w:p>
            <w:pPr>
              <w:spacing w:line="360" w:lineRule="auto"/>
              <w:ind w:firstLine="440" w:firstLineChars="200"/>
              <w:jc w:val="center"/>
              <w:rPr>
                <w:color w:val="auto"/>
              </w:rPr>
            </w:pPr>
          </w:p>
          <w:p>
            <w:pPr>
              <w:spacing w:line="360" w:lineRule="auto"/>
              <w:ind w:firstLine="440" w:firstLineChars="200"/>
              <w:jc w:val="center"/>
              <w:rPr>
                <w:color w:val="auto"/>
              </w:rPr>
            </w:pPr>
          </w:p>
          <w:p>
            <w:pPr>
              <w:spacing w:line="360" w:lineRule="auto"/>
              <w:ind w:firstLine="440" w:firstLineChars="200"/>
              <w:jc w:val="center"/>
              <w:rPr>
                <w:color w:val="auto"/>
              </w:rPr>
            </w:pPr>
          </w:p>
          <w:p>
            <w:pPr>
              <w:spacing w:line="360" w:lineRule="auto"/>
              <w:ind w:firstLine="420" w:firstLineChars="200"/>
              <w:jc w:val="center"/>
              <w:rPr>
                <w:rFonts w:ascii="Times New Roman" w:hAnsi="Times New Roman" w:cs="Times New Roman"/>
                <w:color w:val="auto"/>
                <w:sz w:val="21"/>
                <w:szCs w:val="21"/>
              </w:rPr>
            </w:pPr>
            <w:r>
              <w:rPr>
                <w:rFonts w:ascii="Times New Roman" w:hAnsi="Times New Roman" w:cs="Times New Roman"/>
                <w:color w:val="auto"/>
                <w:sz w:val="21"/>
                <w:szCs w:val="21"/>
              </w:rPr>
              <w:t>图2-2 天然气发动机热试废气处理工艺图</w:t>
            </w: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spacing w:before="0" w:after="0" w:line="0" w:lineRule="atLeast"/>
              <w:rPr>
                <w:color w:val="auto"/>
              </w:rPr>
            </w:pPr>
          </w:p>
          <w:p>
            <w:pPr>
              <w:pStyle w:val="3"/>
              <w:rPr>
                <w:color w:val="auto"/>
              </w:rPr>
            </w:pPr>
          </w:p>
        </w:tc>
      </w:tr>
    </w:tbl>
    <w:p>
      <w:pPr>
        <w:spacing w:after="0" w:line="360" w:lineRule="auto"/>
        <w:outlineLvl w:val="0"/>
        <w:rPr>
          <w:rFonts w:eastAsia="仿宋_GB2312"/>
          <w:b/>
          <w:color w:val="auto"/>
          <w:sz w:val="21"/>
          <w:szCs w:val="21"/>
        </w:rPr>
      </w:pPr>
      <w:r>
        <w:rPr>
          <w:rFonts w:eastAsia="仿宋_GB2312"/>
          <w:b/>
          <w:color w:val="auto"/>
          <w:sz w:val="21"/>
          <w:szCs w:val="21"/>
        </w:rPr>
        <w:t>表</w:t>
      </w:r>
      <w:r>
        <w:rPr>
          <w:rFonts w:hint="eastAsia" w:eastAsia="仿宋_GB2312"/>
          <w:b/>
          <w:color w:val="auto"/>
          <w:sz w:val="21"/>
          <w:szCs w:val="21"/>
        </w:rPr>
        <w:t>三</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4" w:type="dxa"/>
          </w:tcPr>
          <w:p>
            <w:pPr>
              <w:spacing w:line="360" w:lineRule="exact"/>
              <w:rPr>
                <w:rFonts w:hint="eastAsia" w:ascii="宋体" w:hAnsi="宋体" w:eastAsia="宋体"/>
                <w:color w:val="auto"/>
                <w:sz w:val="21"/>
                <w:szCs w:val="21"/>
              </w:rPr>
            </w:pPr>
            <w:r>
              <w:rPr>
                <w:rFonts w:hint="eastAsia" w:ascii="宋体" w:hAnsi="宋体" w:eastAsia="宋体"/>
                <w:color w:val="auto"/>
                <w:sz w:val="21"/>
                <w:szCs w:val="21"/>
              </w:rPr>
              <w:t>主要污染源、污染物处理和排放（附处理流程示意图，标出废水、废气、厂界噪声监测点位）</w:t>
            </w:r>
          </w:p>
          <w:p>
            <w:pPr>
              <w:pStyle w:val="2"/>
              <w:keepNext w:val="0"/>
              <w:keepLines w:val="0"/>
              <w:pageBreakBefore w:val="0"/>
              <w:widowControl/>
              <w:kinsoku/>
              <w:wordWrap/>
              <w:overflowPunct/>
              <w:topLinePunct w:val="0"/>
              <w:autoSpaceDE/>
              <w:autoSpaceDN/>
              <w:bidi w:val="0"/>
              <w:adjustRightInd w:val="0"/>
              <w:snapToGrid w:val="0"/>
              <w:spacing w:before="0" w:after="0"/>
              <w:textAlignment w:val="auto"/>
              <w:rPr>
                <w:rFonts w:ascii="Times New Roman" w:hAnsi="Times New Roman" w:eastAsia="宋体" w:cs="Times New Roman"/>
                <w:color w:val="auto"/>
                <w:sz w:val="21"/>
                <w:szCs w:val="21"/>
              </w:rPr>
            </w:pPr>
            <w:r>
              <w:rPr>
                <w:rFonts w:hint="eastAsia" w:ascii="宋体" w:hAnsi="宋体" w:eastAsia="宋体"/>
                <w:color w:val="auto"/>
                <w:sz w:val="21"/>
                <w:szCs w:val="21"/>
                <w:lang w:val="en-US" w:eastAsia="zh-CN"/>
              </w:rPr>
              <w:t xml:space="preserve"> </w:t>
            </w:r>
            <w:r>
              <w:rPr>
                <w:rFonts w:ascii="Times New Roman" w:hAnsi="Times New Roman" w:eastAsia="黑体" w:cs="Times New Roman"/>
                <w:bCs/>
                <w:color w:val="auto"/>
                <w:sz w:val="21"/>
                <w:szCs w:val="21"/>
              </w:rPr>
              <w:t>1</w:t>
            </w:r>
            <w:r>
              <w:rPr>
                <w:rFonts w:hint="eastAsia" w:ascii="Times New Roman" w:hAnsi="Times New Roman" w:eastAsia="黑体" w:cs="Times New Roman"/>
                <w:bCs/>
                <w:color w:val="auto"/>
                <w:sz w:val="21"/>
                <w:szCs w:val="21"/>
              </w:rPr>
              <w:t xml:space="preserve">. </w:t>
            </w:r>
            <w:r>
              <w:rPr>
                <w:rFonts w:ascii="Times New Roman" w:hAnsi="Times New Roman" w:eastAsia="黑体" w:cs="Times New Roman"/>
                <w:bCs/>
                <w:color w:val="auto"/>
                <w:sz w:val="21"/>
                <w:szCs w:val="21"/>
              </w:rPr>
              <w:t>废气</w:t>
            </w:r>
          </w:p>
          <w:p>
            <w:pPr>
              <w:pStyle w:val="41"/>
              <w:keepNext w:val="0"/>
              <w:keepLines w:val="0"/>
              <w:pageBreakBefore w:val="0"/>
              <w:widowControl/>
              <w:kinsoku/>
              <w:wordWrap/>
              <w:overflowPunct/>
              <w:topLinePunct w:val="0"/>
              <w:autoSpaceDE/>
              <w:autoSpaceDN/>
              <w:bidi w:val="0"/>
              <w:spacing w:line="500" w:lineRule="exact"/>
              <w:ind w:firstLine="448"/>
              <w:textAlignment w:val="auto"/>
              <w:rPr>
                <w:rFonts w:ascii="Times New Roman" w:hAnsi="Times New Roman" w:cs="Times New Roman"/>
                <w:color w:val="auto"/>
                <w:sz w:val="21"/>
                <w:szCs w:val="21"/>
              </w:rPr>
            </w:pPr>
            <w:r>
              <w:rPr>
                <w:rFonts w:ascii="Times New Roman" w:hAnsi="Times New Roman" w:cs="Times New Roman"/>
                <w:color w:val="auto"/>
                <w:sz w:val="21"/>
                <w:szCs w:val="21"/>
              </w:rPr>
              <w:t>本项目</w:t>
            </w:r>
            <w:r>
              <w:rPr>
                <w:rFonts w:hint="eastAsia" w:ascii="Times New Roman" w:hAnsi="Times New Roman" w:cs="Times New Roman"/>
                <w:color w:val="auto"/>
                <w:sz w:val="21"/>
                <w:szCs w:val="21"/>
                <w:lang w:eastAsia="zh-Hans"/>
              </w:rPr>
              <w:t>天然气</w:t>
            </w:r>
            <w:r>
              <w:rPr>
                <w:rFonts w:ascii="Times New Roman" w:hAnsi="Times New Roman" w:cs="Times New Roman"/>
                <w:color w:val="auto"/>
                <w:sz w:val="21"/>
                <w:szCs w:val="21"/>
              </w:rPr>
              <w:t>发</w:t>
            </w:r>
            <w:r>
              <w:rPr>
                <w:rFonts w:hint="eastAsia" w:ascii="Times New Roman" w:hAnsi="Times New Roman" w:cs="Times New Roman"/>
                <w:color w:val="auto"/>
                <w:sz w:val="21"/>
                <w:szCs w:val="21"/>
              </w:rPr>
              <w:t>动机试验</w:t>
            </w:r>
            <w:r>
              <w:rPr>
                <w:rFonts w:hint="eastAsia" w:ascii="Times New Roman" w:hAnsi="Times New Roman" w:cs="Times New Roman"/>
                <w:color w:val="auto"/>
                <w:sz w:val="21"/>
                <w:szCs w:val="21"/>
                <w:lang w:eastAsia="zh-Hans"/>
              </w:rPr>
              <w:t>间配套</w:t>
            </w:r>
            <w:r>
              <w:rPr>
                <w:rFonts w:hint="eastAsia" w:ascii="Times New Roman" w:hAnsi="Times New Roman" w:cs="Times New Roman"/>
                <w:color w:val="auto"/>
                <w:sz w:val="21"/>
                <w:szCs w:val="21"/>
              </w:rPr>
              <w:t>发动机热试尾气净化装置，</w:t>
            </w:r>
            <w:r>
              <w:rPr>
                <w:rFonts w:hint="eastAsia" w:ascii="Times New Roman" w:hAnsi="Times New Roman" w:cs="Times New Roman"/>
                <w:color w:val="auto"/>
                <w:sz w:val="21"/>
                <w:szCs w:val="21"/>
                <w:lang w:eastAsia="zh-Hans"/>
              </w:rPr>
              <w:t>位于试验间外东南部，</w:t>
            </w:r>
            <w:r>
              <w:rPr>
                <w:rFonts w:hint="eastAsia" w:ascii="Times New Roman" w:hAnsi="Times New Roman" w:cs="Times New Roman"/>
                <w:color w:val="auto"/>
                <w:sz w:val="21"/>
                <w:szCs w:val="21"/>
              </w:rPr>
              <w:t>该尾气净化装置包括</w:t>
            </w:r>
            <w:r>
              <w:rPr>
                <w:rFonts w:ascii="Times New Roman" w:hAnsi="Times New Roman" w:cs="Times New Roman"/>
                <w:color w:val="auto"/>
                <w:sz w:val="21"/>
                <w:szCs w:val="21"/>
              </w:rPr>
              <w:t xml:space="preserve"> DOC</w:t>
            </w:r>
            <w:r>
              <w:rPr>
                <w:rFonts w:hint="eastAsia" w:ascii="宋体" w:hAnsi="宋体"/>
                <w:color w:val="auto"/>
                <w:sz w:val="21"/>
                <w:szCs w:val="21"/>
              </w:rPr>
              <w:t>（</w:t>
            </w:r>
            <w:r>
              <w:rPr>
                <w:rFonts w:hint="eastAsia" w:ascii="宋体" w:hAnsi="宋体"/>
                <w:color w:val="auto"/>
                <w:spacing w:val="0"/>
                <w:sz w:val="21"/>
                <w:szCs w:val="21"/>
                <w:shd w:val="clear" w:color="auto" w:fill="FFFFFF"/>
              </w:rPr>
              <w:t>氧化型催化转化器</w:t>
            </w:r>
            <w:r>
              <w:rPr>
                <w:rFonts w:hint="eastAsia" w:ascii="宋体" w:hAnsi="宋体"/>
                <w:color w:val="auto"/>
                <w:sz w:val="21"/>
                <w:szCs w:val="21"/>
              </w:rPr>
              <w:t>）</w:t>
            </w:r>
            <w:r>
              <w:rPr>
                <w:rFonts w:ascii="Times New Roman" w:hAnsi="Times New Roman" w:eastAsia="微软雅黑" w:cs="Times New Roman"/>
                <w:color w:val="auto"/>
                <w:spacing w:val="0"/>
                <w:sz w:val="21"/>
                <w:szCs w:val="21"/>
                <w:shd w:val="clear" w:color="auto" w:fill="FFFFFF"/>
              </w:rPr>
              <w:t>+</w:t>
            </w:r>
            <w:r>
              <w:rPr>
                <w:rFonts w:ascii="Times New Roman" w:hAnsi="Times New Roman" w:cs="Times New Roman"/>
                <w:color w:val="auto"/>
                <w:sz w:val="21"/>
                <w:szCs w:val="21"/>
              </w:rPr>
              <w:t xml:space="preserve">POC </w:t>
            </w:r>
            <w:r>
              <w:rPr>
                <w:rFonts w:hint="eastAsia" w:ascii="宋体" w:hAnsi="宋体"/>
                <w:color w:val="auto"/>
                <w:sz w:val="21"/>
                <w:szCs w:val="21"/>
              </w:rPr>
              <w:t>（</w:t>
            </w:r>
            <w:r>
              <w:rPr>
                <w:rFonts w:hint="eastAsia" w:ascii="宋体" w:hAnsi="宋体"/>
                <w:color w:val="auto"/>
                <w:spacing w:val="0"/>
                <w:sz w:val="21"/>
                <w:szCs w:val="21"/>
                <w:shd w:val="clear" w:color="auto" w:fill="FFFFFF"/>
              </w:rPr>
              <w:t>颗粒物氧化催化转化器</w:t>
            </w:r>
            <w:r>
              <w:rPr>
                <w:rFonts w:hint="eastAsia" w:ascii="宋体" w:hAnsi="宋体"/>
                <w:color w:val="auto"/>
                <w:sz w:val="21"/>
                <w:szCs w:val="21"/>
              </w:rPr>
              <w:t>）</w:t>
            </w:r>
            <w:r>
              <w:rPr>
                <w:rFonts w:ascii="Times New Roman" w:hAnsi="Times New Roman" w:cs="Times New Roman"/>
                <w:color w:val="auto"/>
                <w:sz w:val="21"/>
                <w:szCs w:val="21"/>
              </w:rPr>
              <w:t>+SCR（脱硝装置）</w:t>
            </w:r>
            <w:r>
              <w:rPr>
                <w:rFonts w:hint="eastAsia" w:ascii="Times New Roman" w:hAnsi="Times New Roman" w:cs="Times New Roman"/>
                <w:color w:val="auto"/>
                <w:sz w:val="21"/>
                <w:szCs w:val="21"/>
              </w:rPr>
              <w:t>三个模块分别处理挥发性有机物、颗粒物以及氮氧化物</w:t>
            </w:r>
            <w:r>
              <w:rPr>
                <w:rFonts w:hint="eastAsia" w:ascii="Times New Roman" w:hAnsi="Times New Roman" w:cs="Times New Roman"/>
                <w:color w:val="auto"/>
                <w:sz w:val="21"/>
                <w:szCs w:val="21"/>
                <w:lang w:eastAsia="zh-Hans"/>
              </w:rPr>
              <w:t>，</w:t>
            </w:r>
            <w:r>
              <w:rPr>
                <w:rFonts w:hint="eastAsia" w:ascii="Times New Roman" w:hAnsi="Times New Roman" w:cs="Times New Roman"/>
                <w:color w:val="auto"/>
                <w:sz w:val="21"/>
                <w:szCs w:val="21"/>
              </w:rPr>
              <w:t>尾气净化装置处理对象及处理</w:t>
            </w:r>
            <w:r>
              <w:rPr>
                <w:rFonts w:hint="eastAsia" w:ascii="Times New Roman" w:hAnsi="Times New Roman" w:cs="Times New Roman"/>
                <w:color w:val="auto"/>
                <w:sz w:val="21"/>
                <w:szCs w:val="21"/>
                <w:lang w:eastAsia="zh-Hans"/>
              </w:rPr>
              <w:t>工艺流程详见图</w:t>
            </w:r>
            <w:r>
              <w:rPr>
                <w:rFonts w:ascii="Times New Roman" w:hAnsi="Times New Roman" w:cs="Times New Roman"/>
                <w:color w:val="auto"/>
                <w:sz w:val="21"/>
                <w:szCs w:val="21"/>
                <w:lang w:eastAsia="zh-Hans"/>
              </w:rPr>
              <w:t>3-</w:t>
            </w:r>
            <w:r>
              <w:rPr>
                <w:rFonts w:hint="eastAsia" w:ascii="Times New Roman" w:hAnsi="Times New Roman" w:cs="Times New Roman"/>
                <w:color w:val="auto"/>
                <w:sz w:val="21"/>
                <w:szCs w:val="21"/>
              </w:rPr>
              <w:t>1</w:t>
            </w:r>
            <w:r>
              <w:rPr>
                <w:rFonts w:hint="eastAsia" w:ascii="Times New Roman" w:hAnsi="Times New Roman" w:cs="Times New Roman"/>
                <w:color w:val="auto"/>
                <w:sz w:val="21"/>
                <w:szCs w:val="21"/>
                <w:lang w:eastAsia="zh-Hans"/>
              </w:rPr>
              <w:t>。</w:t>
            </w:r>
          </w:p>
          <w:p>
            <w:pPr>
              <w:spacing w:after="0"/>
              <w:ind w:firstLine="440" w:firstLineChars="200"/>
              <w:jc w:val="center"/>
              <w:rPr>
                <w:rFonts w:ascii="Times New Roman" w:hAnsi="Times New Roman" w:eastAsia="宋体" w:cs="Times New Roman"/>
                <w:color w:val="auto"/>
                <w:sz w:val="21"/>
                <w:szCs w:val="21"/>
              </w:rPr>
            </w:pPr>
            <w:r>
              <w:rPr>
                <w:color w:val="auto"/>
              </w:rPr>
              <mc:AlternateContent>
                <mc:Choice Requires="wpc">
                  <w:drawing>
                    <wp:inline distT="0" distB="0" distL="0" distR="0">
                      <wp:extent cx="4791075" cy="2465070"/>
                      <wp:effectExtent l="0" t="0" r="8255" b="13335"/>
                      <wp:docPr id="49" name="画布 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圆角矩形 3"/>
                              <wps:cNvSpPr/>
                              <wps:spPr>
                                <a:xfrm>
                                  <a:off x="746312" y="611842"/>
                                  <a:ext cx="961464" cy="4303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DOC</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圆角矩形 4"/>
                              <wps:cNvSpPr/>
                              <wps:spPr>
                                <a:xfrm>
                                  <a:off x="746312" y="1996082"/>
                                  <a:ext cx="961464" cy="4303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SCR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椭圆 6"/>
                              <wps:cNvSpPr/>
                              <wps:spPr>
                                <a:xfrm>
                                  <a:off x="3079115" y="605155"/>
                                  <a:ext cx="1681480" cy="4705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eastAsia="宋体"/>
                                      </w:rPr>
                                    </w:pPr>
                                    <w:r>
                                      <w:rPr>
                                        <w:rFonts w:hint="eastAsia"/>
                                      </w:rPr>
                                      <w:t>挥发性有机物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椭圆 7"/>
                              <wps:cNvSpPr/>
                              <wps:spPr>
                                <a:xfrm>
                                  <a:off x="3079376" y="1989355"/>
                                  <a:ext cx="1519519" cy="47064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N</w:t>
                                    </w:r>
                                    <w:r>
                                      <w:t>Ox</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直接箭头连接符 9"/>
                              <wps:cNvCnPr/>
                              <wps:spPr>
                                <a:xfrm>
                                  <a:off x="1707776" y="827630"/>
                                  <a:ext cx="1371600" cy="133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直接箭头连接符 10"/>
                              <wps:cNvCnPr/>
                              <wps:spPr>
                                <a:xfrm>
                                  <a:off x="1707776" y="2211235"/>
                                  <a:ext cx="1371600" cy="134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文本框 12"/>
                              <wps:cNvSpPr txBox="1"/>
                              <wps:spPr>
                                <a:xfrm>
                                  <a:off x="806824" y="161366"/>
                                  <a:ext cx="748030" cy="335915"/>
                                </a:xfrm>
                                <a:prstGeom prst="rect">
                                  <a:avLst/>
                                </a:prstGeom>
                                <a:noFill/>
                                <a:ln w="6350">
                                  <a:noFill/>
                                </a:ln>
                              </wps:spPr>
                              <wps:txbx>
                                <w:txbxContent>
                                  <w:p>
                                    <w:r>
                                      <w:rPr>
                                        <w:rFonts w:hint="eastAsia"/>
                                      </w:rPr>
                                      <w:t>处</w:t>
                                    </w:r>
                                    <w:r>
                                      <w:t>理形式</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29" name="文本框 13"/>
                              <wps:cNvSpPr txBox="1"/>
                              <wps:spPr>
                                <a:xfrm>
                                  <a:off x="3429001" y="201707"/>
                                  <a:ext cx="748030" cy="335915"/>
                                </a:xfrm>
                                <a:prstGeom prst="rect">
                                  <a:avLst/>
                                </a:prstGeom>
                                <a:noFill/>
                                <a:ln w="6350">
                                  <a:noFill/>
                                </a:ln>
                              </wps:spPr>
                              <wps:txbx>
                                <w:txbxContent>
                                  <w:p>
                                    <w:r>
                                      <w:rPr>
                                        <w:rFonts w:hint="eastAsia"/>
                                      </w:rPr>
                                      <w:t>处</w:t>
                                    </w:r>
                                    <w:r>
                                      <w:t>理</w:t>
                                    </w:r>
                                    <w:r>
                                      <w:rPr>
                                        <w:rFonts w:hint="eastAsia"/>
                                      </w:rPr>
                                      <w:t>对</w:t>
                                    </w:r>
                                    <w:r>
                                      <w:t>象</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31" name="圆角矩形 92"/>
                              <wps:cNvSpPr/>
                              <wps:spPr>
                                <a:xfrm>
                                  <a:off x="746312" y="1315930"/>
                                  <a:ext cx="961464" cy="4303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P</w:t>
                                    </w:r>
                                    <w:r>
                                      <w:rPr>
                                        <w:rFonts w:hint="eastAsia"/>
                                      </w:rPr>
                                      <w:t>OC</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椭圆 93"/>
                              <wps:cNvSpPr/>
                              <wps:spPr>
                                <a:xfrm>
                                  <a:off x="3079376" y="1309206"/>
                                  <a:ext cx="1519519" cy="47064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颗粒</w:t>
                                    </w:r>
                                    <w:r>
                                      <w:t>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直接箭头连接符 94"/>
                              <wps:cNvCnPr>
                                <a:stCxn id="92" idx="3"/>
                                <a:endCxn id="93" idx="2"/>
                              </wps:cNvCnPr>
                              <wps:spPr>
                                <a:xfrm>
                                  <a:off x="1707776" y="1531083"/>
                                  <a:ext cx="1371600" cy="134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94.1pt;width:377.25pt;" coordsize="4791075,2465070" editas="canvas" o:gfxdata="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">
                      <o:lock v:ext="edit" aspectratio="f"/>
                      <v:shape id="_x0000_s1026" o:spid="_x0000_s1026" style="position:absolute;left:0;top:0;height:2465070;width:4791075;" filled="f" stroked="f" coordsize="21600,21600" o:gfxdata="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">
                        <v:fill on="f" focussize="0,0"/>
                        <v:stroke on="f"/>
                        <v:imagedata o:title=""/>
                        <o:lock v:ext="edit" aspectratio="t"/>
                      </v:shape>
                      <v:roundrect id="圆角矩形 3" o:spid="_x0000_s1026" o:spt="2" style="position:absolute;left:746312;top:611842;height:430305;width:961464;v-text-anchor:middle;" fillcolor="#5B9BD5 [3204]" filled="t" stroked="t" coordsize="21600,21600" arcsize="0.166666666666667" o:gfxdata="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HYXLmdMAAAAFAQAADwAAAAAAAAABACAAAAAiAAAAZHJzL2Rvd25yZXYueG1sUEsB&#10;AhQAFAAAAAgAh07iQBepB3ClAgAANAUAAA4AAAAAAAAAAQAgAAAAIgEAAGRycy9lMm9Eb2MueG1s&#10;UEsFBgAAAAAGAAYAWQEAADkGAAAAAA==&#10;">
                        <v:fill on="t" focussize="0,0"/>
                        <v:stroke weight="1pt" color="#41719C [3204]" miterlimit="8" joinstyle="miter"/>
                        <v:imagedata o:title=""/>
                        <o:lock v:ext="edit" aspectratio="f"/>
                        <v:textbox>
                          <w:txbxContent>
                            <w:p>
                              <w:pPr>
                                <w:jc w:val="center"/>
                              </w:pPr>
                              <w:r>
                                <w:rPr>
                                  <w:rFonts w:hint="eastAsia"/>
                                </w:rPr>
                                <w:t>DOC</w:t>
                              </w:r>
                            </w:p>
                          </w:txbxContent>
                        </v:textbox>
                      </v:roundrect>
                      <v:roundrect id="圆角矩形 4" o:spid="_x0000_s1026" o:spt="2" style="position:absolute;left:746312;top:1996082;height:430305;width:961464;v-text-anchor:middle;" fillcolor="#5B9BD5 [3204]" filled="t" stroked="t" coordsize="21600,21600" arcsize="0.166666666666667" o:gfxdata="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B2Fy5nTAAAABQEAAA8AAAAAAAAAAQAgAAAAIgAAAGRycy9kb3ducmV2LnhtbFBL&#10;AQIUABQAAAAIAIdO4kCoz7d1pgIAADUFAAAOAAAAAAAAAAEAIAAAACIBAABkcnMvZTJvRG9jLnht&#10;bFBLBQYAAAAABgAGAFkBAAA6BgAAAAA=&#10;">
                        <v:fill on="t" focussize="0,0"/>
                        <v:stroke weight="1pt" color="#41719C [3204]" miterlimit="8" joinstyle="miter"/>
                        <v:imagedata o:title=""/>
                        <o:lock v:ext="edit" aspectratio="f"/>
                        <v:textbox>
                          <w:txbxContent>
                            <w:p>
                              <w:pPr>
                                <w:jc w:val="center"/>
                              </w:pPr>
                              <w:r>
                                <w:t>SCR</w:t>
                              </w:r>
                            </w:p>
                          </w:txbxContent>
                        </v:textbox>
                      </v:roundrect>
                      <v:shape id="椭圆 6" o:spid="_x0000_s1026" o:spt="3" type="#_x0000_t3" style="position:absolute;left:3079115;top:605155;height:470535;width:1681480;v-text-anchor:middle;" fillcolor="#5B9BD5 [3204]" filled="t" stroked="t" coordsize="21600,21600" o:gfxdata="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O&#10;1SFu1AAAAAUBAAAPAAAAAAAAAAEAIAAAACIAAABkcnMvZG93bnJldi54bWxQSwECFAAUAAAACACH&#10;TuJAoJWjh5oCAAAuBQAADgAAAAAAAAABACAAAAAjAQAAZHJzL2Uyb0RvYy54bWxQSwUGAAAAAAYA&#10;BgBZAQAALwYAAAAA&#10;">
                        <v:fill on="t" focussize="0,0"/>
                        <v:stroke weight="1pt" color="#41719C [3204]" miterlimit="8" joinstyle="miter"/>
                        <v:imagedata o:title=""/>
                        <o:lock v:ext="edit" aspectratio="f"/>
                        <v:textbox>
                          <w:txbxContent>
                            <w:p>
                              <w:pPr>
                                <w:jc w:val="center"/>
                                <w:rPr>
                                  <w:rFonts w:eastAsia="宋体"/>
                                </w:rPr>
                              </w:pPr>
                              <w:r>
                                <w:rPr>
                                  <w:rFonts w:hint="eastAsia"/>
                                </w:rPr>
                                <w:t>挥发性有机物</w:t>
                              </w:r>
                            </w:p>
                          </w:txbxContent>
                        </v:textbox>
                      </v:shape>
                      <v:shape id="椭圆 7" o:spid="_x0000_s1026" o:spt="3" type="#_x0000_t3" style="position:absolute;left:3079376;top:1989355;height:470647;width:1519519;v-text-anchor:middle;" fillcolor="#5B9BD5 [3204]" filled="t" stroked="t" coordsize="21600,21600" o:gfxdata="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ztUhbtQAAAAFAQAADwAAAAAAAAABACAAAAAiAAAAZHJzL2Rvd25yZXYueG1sUEsBAhQAFAAA&#10;AAgAh07iQD5cWkqeAgAALwUAAA4AAAAAAAAAAQAgAAAAIwEAAGRycy9lMm9Eb2MueG1sUEsFBgAA&#10;AAAGAAYAWQEAADMGAAAAAA==&#10;">
                        <v:fill on="t" focussize="0,0"/>
                        <v:stroke weight="1pt" color="#41719C [3204]" miterlimit="8" joinstyle="miter"/>
                        <v:imagedata o:title=""/>
                        <o:lock v:ext="edit" aspectratio="f"/>
                        <v:textbox>
                          <w:txbxContent>
                            <w:p>
                              <w:pPr>
                                <w:jc w:val="center"/>
                              </w:pPr>
                              <w:r>
                                <w:rPr>
                                  <w:rFonts w:hint="eastAsia"/>
                                </w:rPr>
                                <w:t>N</w:t>
                              </w:r>
                              <w:r>
                                <w:t>Ox</w:t>
                              </w:r>
                            </w:p>
                          </w:txbxContent>
                        </v:textbox>
                      </v:shape>
                      <v:shape id="_x0000_s1026" o:spid="_x0000_s1026" o:spt="32" type="#_x0000_t32" style="position:absolute;left:1707776;top:827630;height:13335;width:1371600;" filled="f" stroked="t" coordsize="21600,21600" o:gfxdata="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79/Zh1gAAAAUBAAAP&#10;AAAAAAAAAAEAIAAAACIAAABkcnMvZG93bnJldi54bWxQSwECFAAUAAAACACHTuJAHqsTqRoCAADw&#10;AwAADgAAAAAAAAABACAAAAAlAQAAZHJzL2Uyb0RvYy54bWxQSwUGAAAAAAYABgBZAQAAsQUAAAAA&#10;">
                        <v:fill on="f" focussize="0,0"/>
                        <v:stroke weight="0.5pt" color="#5B9BD5 [3204]" miterlimit="8" joinstyle="miter" endarrow="block"/>
                        <v:imagedata o:title=""/>
                        <o:lock v:ext="edit" aspectratio="f"/>
                      </v:shape>
                      <v:shape id="_x0000_s1026" o:spid="_x0000_s1026" o:spt="32" type="#_x0000_t32" style="position:absolute;left:1707776;top:2211235;height:13444;width:1371600;" filled="f" stroked="t" coordsize="21600,21600" o:gfxdata="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f2YdYAAAAFAQAA&#10;DwAAAAAAAAABACAAAAAiAAAAZHJzL2Rvd25yZXYueG1sUEsBAhQAFAAAAAgAh07iQAl2AjobAgAA&#10;8wMAAA4AAAAAAAAAAQAgAAAAJQEAAGRycy9lMm9Eb2MueG1sUEsFBgAAAAAGAAYAWQEAALIFAAAA&#10;AA==&#10;">
                        <v:fill on="f" focussize="0,0"/>
                        <v:stroke weight="0.5pt" color="#5B9BD5 [3204]" miterlimit="8" joinstyle="miter" endarrow="block"/>
                        <v:imagedata o:title=""/>
                        <o:lock v:ext="edit" aspectratio="f"/>
                      </v:shape>
                      <v:shape id="文本框 12" o:spid="_x0000_s1026" o:spt="202" type="#_x0000_t202" style="position:absolute;left:806824;top:161366;height:335915;width:748030;mso-wrap-style:none;" filled="f" stroked="f" coordsize="21600,21600" o:gfxdata="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jU4aS2QAAAAUBAAAPAAAAAAAAAAEAIAAA&#10;ACIAAABkcnMvZG93bnJldi54bWxQSwECFAAUAAAACACHTuJAY9+5YEQCAABvBAAADgAAAAAAAAAB&#10;ACAAAAAoAQAAZHJzL2Uyb0RvYy54bWxQSwUGAAAAAAYABgBZAQAA3gUAAAAA&#10;">
                        <v:fill on="f" focussize="0,0"/>
                        <v:stroke on="f" weight="0.5pt"/>
                        <v:imagedata o:title=""/>
                        <o:lock v:ext="edit" aspectratio="f"/>
                        <v:textbox>
                          <w:txbxContent>
                            <w:p>
                              <w:r>
                                <w:rPr>
                                  <w:rFonts w:hint="eastAsia"/>
                                </w:rPr>
                                <w:t>处</w:t>
                              </w:r>
                              <w:r>
                                <w:t>理形式</w:t>
                              </w:r>
                            </w:p>
                          </w:txbxContent>
                        </v:textbox>
                      </v:shape>
                      <v:shape id="文本框 13" o:spid="_x0000_s1026" o:spt="202" type="#_x0000_t202" style="position:absolute;left:3429001;top:201707;height:335915;width:748030;mso-wrap-style:none;" filled="f" stroked="f" coordsize="21600,21600" o:gfxdata="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NThpLZAAAABQEAAA8AAAAAAAAAAQAg&#10;AAAAIgAAAGRycy9kb3ducmV2LnhtbFBLAQIUABQAAAAIAIdO4kC2273CRgIAAHAEAAAOAAAAAAAA&#10;AAEAIAAAACgBAABkcnMvZTJvRG9jLnhtbFBLBQYAAAAABgAGAFkBAADgBQAAAAA=&#10;">
                        <v:fill on="f" focussize="0,0"/>
                        <v:stroke on="f" weight="0.5pt"/>
                        <v:imagedata o:title=""/>
                        <o:lock v:ext="edit" aspectratio="f"/>
                        <v:textbox>
                          <w:txbxContent>
                            <w:p>
                              <w:r>
                                <w:rPr>
                                  <w:rFonts w:hint="eastAsia"/>
                                </w:rPr>
                                <w:t>处</w:t>
                              </w:r>
                              <w:r>
                                <w:t>理</w:t>
                              </w:r>
                              <w:r>
                                <w:rPr>
                                  <w:rFonts w:hint="eastAsia"/>
                                </w:rPr>
                                <w:t>对</w:t>
                              </w:r>
                              <w:r>
                                <w:t>象</w:t>
                              </w:r>
                            </w:p>
                          </w:txbxContent>
                        </v:textbox>
                      </v:shape>
                      <v:roundrect id="圆角矩形 92" o:spid="_x0000_s1026" o:spt="2" style="position:absolute;left:746312;top:1315930;height:430305;width:961464;v-text-anchor:middle;" fillcolor="#5B9BD5 [3204]" filled="t" stroked="t" coordsize="21600,21600" arcsize="0.166666666666667" o:gfxdata="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HYXLmdMAAAAFAQAADwAAAAAAAAABACAAAAAiAAAAZHJzL2Rvd25yZXYueG1s&#10;UEsBAhQAFAAAAAgAh07iQBuO8LOoAgAANwUAAA4AAAAAAAAAAQAgAAAAIgEAAGRycy9lMm9Eb2Mu&#10;eG1sUEsFBgAAAAAGAAYAWQEAADwGAAAAAA==&#10;">
                        <v:fill on="t" focussize="0,0"/>
                        <v:stroke weight="1pt" color="#41719C [3204]" miterlimit="8" joinstyle="miter"/>
                        <v:imagedata o:title=""/>
                        <o:lock v:ext="edit" aspectratio="f"/>
                        <v:textbox>
                          <w:txbxContent>
                            <w:p>
                              <w:pPr>
                                <w:jc w:val="center"/>
                              </w:pPr>
                              <w:r>
                                <w:t>P</w:t>
                              </w:r>
                              <w:r>
                                <w:rPr>
                                  <w:rFonts w:hint="eastAsia"/>
                                </w:rPr>
                                <w:t>OC</w:t>
                              </w:r>
                            </w:p>
                          </w:txbxContent>
                        </v:textbox>
                      </v:roundrect>
                      <v:shape id="椭圆 93" o:spid="_x0000_s1026" o:spt="3" type="#_x0000_t3" style="position:absolute;left:3079376;top:1309206;height:470647;width:1519519;v-text-anchor:middle;" fillcolor="#5B9BD5 [3204]" filled="t" stroked="t" coordsize="21600,21600" o:gfxdata="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ztUhbtQAAAAFAQAADwAAAAAAAAABACAAAAAiAAAAZHJzL2Rvd25yZXYueG1sUEsBAhQAFAAAAAgA&#10;h07iQOayuvibAgAAMQUAAA4AAAAAAAAAAQAgAAAAIwEAAGRycy9lMm9Eb2MueG1sUEsFBgAAAAAG&#10;AAYAWQEAADAGAAAAAA==&#10;">
                        <v:fill on="t" focussize="0,0"/>
                        <v:stroke weight="1pt" color="#41719C [3204]" miterlimit="8" joinstyle="miter"/>
                        <v:imagedata o:title=""/>
                        <o:lock v:ext="edit" aspectratio="f"/>
                        <v:textbox>
                          <w:txbxContent>
                            <w:p>
                              <w:pPr>
                                <w:jc w:val="center"/>
                              </w:pPr>
                              <w:r>
                                <w:rPr>
                                  <w:rFonts w:hint="eastAsia"/>
                                </w:rPr>
                                <w:t>颗粒</w:t>
                              </w:r>
                              <w:r>
                                <w:t>物</w:t>
                              </w:r>
                            </w:p>
                          </w:txbxContent>
                        </v:textbox>
                      </v:shape>
                      <v:shape id="直接箭头连接符 94" o:spid="_x0000_s1026" o:spt="32" type="#_x0000_t32" style="position:absolute;left:1707776;top:1531083;height:13447;width:1371600;" filled="f" stroked="t" coordsize="21600,21600" o:gfxdata="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v39mHWAAAABQEAAA8AAAAAAAAAAQAgAAAAIgAAAGRycy9kb3ducmV2Lnht&#10;bFBLAQIUABQAAAAIAIdO4kC7u+gUNAIAADUEAAAOAAAAAAAAAAEAIAAAACUBAABkcnMvZTJvRG9j&#10;LnhtbFBLBQYAAAAABgAGAFkBAADLBQAAAAA=&#10;">
                        <v:fill on="f" focussize="0,0"/>
                        <v:stroke weight="0.5pt" color="#5B9BD5 [3204]" miterlimit="8" joinstyle="miter" endarrow="block"/>
                        <v:imagedata o:title=""/>
                        <o:lock v:ext="edit" aspectratio="f"/>
                      </v:shape>
                      <w10:wrap type="none"/>
                      <w10:anchorlock/>
                    </v:group>
                  </w:pict>
                </mc:Fallback>
              </mc:AlternateContent>
            </w:r>
          </w:p>
          <w:p>
            <w:pPr>
              <w:pStyle w:val="46"/>
              <w:rPr>
                <w:bCs/>
                <w:color w:val="auto"/>
              </w:rPr>
            </w:pPr>
          </w:p>
          <w:p>
            <w:pPr>
              <w:spacing w:after="0"/>
              <w:jc w:val="center"/>
              <w:rPr>
                <w:rFonts w:ascii="Times New Roman" w:hAnsi="Times New Roman" w:eastAsia="宋体" w:cs="Times New Roman"/>
                <w:color w:val="auto"/>
                <w:sz w:val="21"/>
                <w:szCs w:val="21"/>
              </w:rPr>
            </w:pPr>
            <w:r>
              <w:rPr>
                <w:color w:val="auto"/>
              </w:rPr>
              <w:object>
                <v:shape id="_x0000_i1026" o:spt="75" type="#_x0000_t75" style="height:109.8pt;width:308.3pt;" o:ole="t" filled="f" o:preferrelative="t" stroked="f" coordsize="21600,21600">
                  <v:path/>
                  <v:fill on="f" focussize="0,0"/>
                  <v:stroke on="f"/>
                  <v:imagedata r:id="rId18" o:title=""/>
                  <o:lock v:ext="edit" aspectratio="t"/>
                  <w10:wrap type="none"/>
                  <w10:anchorlock/>
                </v:shape>
                <o:OLEObject Type="Embed" ProgID="Visio.Drawing.11" ShapeID="_x0000_i1026" DrawAspect="Content" ObjectID="_1468075727" r:id="rId17">
                  <o:LockedField>false</o:LockedField>
                </o:OLEObject>
              </w:object>
            </w:r>
          </w:p>
          <w:p>
            <w:pPr>
              <w:spacing w:after="0"/>
              <w:jc w:val="center"/>
              <w:rPr>
                <w:rFonts w:ascii="Times New Roman" w:hAnsi="Times New Roman" w:eastAsia="黑体" w:cs="Times New Roman"/>
                <w:bCs/>
                <w:color w:val="auto"/>
                <w:sz w:val="21"/>
                <w:szCs w:val="21"/>
              </w:rPr>
            </w:pPr>
          </w:p>
          <w:p>
            <w:pPr>
              <w:spacing w:after="0"/>
              <w:jc w:val="center"/>
              <w:rPr>
                <w:rFonts w:ascii="Times New Roman" w:hAnsi="Times New Roman" w:eastAsia="宋体" w:cs="Times New Roman"/>
                <w:color w:val="auto"/>
                <w:sz w:val="21"/>
                <w:szCs w:val="21"/>
                <w:lang w:eastAsia="zh-Hans"/>
              </w:rPr>
            </w:pPr>
            <w:r>
              <w:rPr>
                <w:rFonts w:ascii="Times New Roman" w:hAnsi="Times New Roman" w:eastAsia="黑体" w:cs="Times New Roman"/>
                <w:bCs/>
                <w:color w:val="auto"/>
                <w:sz w:val="21"/>
                <w:szCs w:val="21"/>
              </w:rPr>
              <w:t>图</w:t>
            </w:r>
            <w:r>
              <w:rPr>
                <w:rFonts w:hint="eastAsia" w:ascii="Times New Roman" w:hAnsi="Times New Roman" w:eastAsia="黑体" w:cs="Times New Roman"/>
                <w:bCs/>
                <w:color w:val="auto"/>
                <w:sz w:val="21"/>
                <w:szCs w:val="21"/>
              </w:rPr>
              <w:t>3-1</w:t>
            </w:r>
            <w:r>
              <w:rPr>
                <w:rFonts w:ascii="Times New Roman" w:hAnsi="Times New Roman" w:eastAsia="黑体" w:cs="Times New Roman"/>
                <w:bCs/>
                <w:color w:val="auto"/>
                <w:sz w:val="21"/>
                <w:szCs w:val="21"/>
              </w:rPr>
              <w:t xml:space="preserve"> </w:t>
            </w:r>
            <w:r>
              <w:rPr>
                <w:rFonts w:hint="eastAsia" w:ascii="Times New Roman" w:hAnsi="Times New Roman" w:eastAsia="黑体" w:cs="Times New Roman"/>
                <w:bCs/>
                <w:color w:val="auto"/>
                <w:sz w:val="21"/>
                <w:szCs w:val="21"/>
              </w:rPr>
              <w:t>尾气净化装置处理对象及处理</w:t>
            </w:r>
            <w:r>
              <w:rPr>
                <w:rFonts w:ascii="Times New Roman" w:hAnsi="Times New Roman" w:eastAsia="黑体" w:cs="Times New Roman"/>
                <w:bCs/>
                <w:color w:val="auto"/>
                <w:sz w:val="21"/>
                <w:szCs w:val="21"/>
              </w:rPr>
              <w:t>工艺流程图</w:t>
            </w:r>
          </w:p>
          <w:p>
            <w:pPr>
              <w:spacing w:after="0" w:line="50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本项目天然气发动机</w:t>
            </w:r>
            <w:r>
              <w:rPr>
                <w:rFonts w:ascii="Times New Roman" w:hAnsi="Times New Roman" w:eastAsia="宋体" w:cs="Times New Roman"/>
                <w:color w:val="auto"/>
                <w:sz w:val="21"/>
                <w:szCs w:val="21"/>
              </w:rPr>
              <w:t>台架</w:t>
            </w:r>
            <w:r>
              <w:rPr>
                <w:rFonts w:hint="eastAsia" w:ascii="Times New Roman" w:hAnsi="Times New Roman" w:eastAsia="宋体" w:cs="Times New Roman"/>
                <w:color w:val="auto"/>
                <w:sz w:val="21"/>
                <w:szCs w:val="21"/>
              </w:rPr>
              <w:t>热试工序</w:t>
            </w:r>
            <w:r>
              <w:rPr>
                <w:rFonts w:ascii="Times New Roman" w:hAnsi="Times New Roman" w:eastAsia="宋体" w:cs="Times New Roman"/>
                <w:color w:val="auto"/>
                <w:sz w:val="21"/>
                <w:szCs w:val="21"/>
              </w:rPr>
              <w:t>排放尾气由工位吸气装置集中收集，</w:t>
            </w:r>
            <w:r>
              <w:rPr>
                <w:rFonts w:hint="eastAsia" w:ascii="Times New Roman" w:hAnsi="Times New Roman" w:eastAsia="宋体" w:cs="Times New Roman"/>
                <w:color w:val="auto"/>
                <w:sz w:val="21"/>
                <w:szCs w:val="21"/>
                <w:lang w:eastAsia="zh-Hans"/>
              </w:rPr>
              <w:t>然后</w:t>
            </w:r>
            <w:r>
              <w:rPr>
                <w:rFonts w:ascii="Times New Roman" w:hAnsi="Times New Roman" w:eastAsia="宋体" w:cs="Times New Roman"/>
                <w:color w:val="auto"/>
                <w:sz w:val="21"/>
                <w:szCs w:val="21"/>
              </w:rPr>
              <w:t>通过</w:t>
            </w:r>
            <w:r>
              <w:rPr>
                <w:rFonts w:hint="eastAsia" w:ascii="Times New Roman" w:hAnsi="Times New Roman" w:eastAsia="宋体" w:cs="Times New Roman"/>
                <w:color w:val="auto"/>
                <w:sz w:val="21"/>
                <w:szCs w:val="21"/>
                <w:lang w:eastAsia="zh-Hans"/>
              </w:rPr>
              <w:t>试验间外配套的</w:t>
            </w:r>
            <w:r>
              <w:rPr>
                <w:rFonts w:hint="eastAsia" w:ascii="Times New Roman" w:hAnsi="Times New Roman" w:eastAsia="宋体" w:cs="Times New Roman"/>
                <w:color w:val="auto"/>
                <w:sz w:val="21"/>
                <w:szCs w:val="21"/>
              </w:rPr>
              <w:t>尾气净化装置对处理后</w:t>
            </w:r>
            <w:r>
              <w:rPr>
                <w:rFonts w:ascii="Times New Roman" w:hAnsi="Times New Roman" w:eastAsia="宋体" w:cs="Times New Roman"/>
                <w:color w:val="auto"/>
                <w:sz w:val="21"/>
                <w:szCs w:val="21"/>
              </w:rPr>
              <w:t>经20m排气筒排</w:t>
            </w:r>
            <w:r>
              <w:rPr>
                <w:rFonts w:hint="eastAsia" w:ascii="Times New Roman" w:hAnsi="Times New Roman" w:eastAsia="宋体" w:cs="Times New Roman"/>
                <w:color w:val="auto"/>
                <w:sz w:val="21"/>
                <w:szCs w:val="21"/>
              </w:rPr>
              <w:t>放</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根据</w:t>
            </w:r>
            <w:r>
              <w:rPr>
                <w:rFonts w:ascii="Times New Roman" w:hAnsi="Times New Roman" w:eastAsia="宋体" w:cs="Times New Roman"/>
                <w:color w:val="auto"/>
                <w:sz w:val="21"/>
                <w:szCs w:val="21"/>
              </w:rPr>
              <w:t>中冶检测认证有限公司出具的检测报告（报告编号：</w:t>
            </w:r>
            <w:r>
              <w:rPr>
                <w:rFonts w:hint="eastAsia" w:ascii="Times New Roman" w:hAnsi="Times New Roman" w:eastAsia="宋体" w:cs="Times New Roman"/>
                <w:color w:val="auto"/>
                <w:sz w:val="21"/>
                <w:szCs w:val="21"/>
              </w:rPr>
              <w:t>ZYJC-HJ-JC-T-2022-2121</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表明</w:t>
            </w:r>
            <w:r>
              <w:rPr>
                <w:rFonts w:hint="eastAsia" w:ascii="Times New Roman" w:hAnsi="Times New Roman" w:eastAsia="宋体" w:cs="Times New Roman"/>
                <w:color w:val="auto"/>
                <w:sz w:val="21"/>
                <w:szCs w:val="21"/>
              </w:rPr>
              <w:t>，外排废气中的主要污染</w:t>
            </w:r>
            <w:r>
              <w:rPr>
                <w:rFonts w:hint="eastAsia" w:ascii="宋体" w:hAnsi="宋体" w:eastAsia="宋体" w:cs="宋体"/>
                <w:color w:val="auto"/>
                <w:sz w:val="21"/>
                <w:szCs w:val="21"/>
              </w:rPr>
              <w:t>物非甲烷总烃、颗粒物以及氮氧化物</w:t>
            </w:r>
            <w:r>
              <w:rPr>
                <w:rFonts w:ascii="Times New Roman" w:hAnsi="Times New Roman" w:eastAsia="宋体" w:cs="Times New Roman"/>
                <w:color w:val="auto"/>
                <w:sz w:val="21"/>
                <w:szCs w:val="21"/>
              </w:rPr>
              <w:t>满足《大气污染物综合排放标准》（DB11/501-2017）中的表3生产工艺废气及其他废气大气污染物排放限值</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时段标准</w:t>
            </w:r>
            <w:r>
              <w:rPr>
                <w:rFonts w:hint="eastAsia" w:ascii="Times New Roman" w:hAnsi="Times New Roman" w:eastAsia="宋体" w:cs="Times New Roman"/>
                <w:color w:val="auto"/>
                <w:sz w:val="21"/>
                <w:szCs w:val="21"/>
              </w:rPr>
              <w:t>限值求</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eastAsia="zh-Hans"/>
              </w:rPr>
              <w:t>废气处理设施照片见图</w:t>
            </w:r>
            <w:r>
              <w:rPr>
                <w:rFonts w:ascii="Times New Roman" w:hAnsi="Times New Roman" w:eastAsia="宋体" w:cs="Times New Roman"/>
                <w:color w:val="auto"/>
                <w:sz w:val="21"/>
                <w:szCs w:val="21"/>
                <w:lang w:eastAsia="zh-Hans"/>
              </w:rPr>
              <w:t>3-</w:t>
            </w:r>
            <w:r>
              <w:rPr>
                <w:rFonts w:hint="eastAsia" w:ascii="Times New Roman" w:hAnsi="Times New Roman" w:eastAsia="宋体" w:cs="Times New Roman"/>
                <w:color w:val="auto"/>
                <w:sz w:val="21"/>
                <w:szCs w:val="21"/>
              </w:rPr>
              <w:t>2</w:t>
            </w:r>
            <w:r>
              <w:rPr>
                <w:rFonts w:hint="eastAsia" w:ascii="Times New Roman" w:hAnsi="Times New Roman" w:eastAsia="宋体" w:cs="Times New Roman"/>
                <w:color w:val="auto"/>
                <w:sz w:val="21"/>
                <w:szCs w:val="21"/>
                <w:lang w:eastAsia="zh-Hans"/>
              </w:rPr>
              <w:t>。</w:t>
            </w:r>
          </w:p>
          <w:p>
            <w:pPr>
              <w:spacing w:after="0"/>
              <w:jc w:val="center"/>
              <w:rPr>
                <w:rFonts w:ascii="Times New Roman" w:hAnsi="Times New Roman" w:eastAsia="宋体" w:cs="Times New Roman"/>
                <w:color w:val="auto"/>
                <w:sz w:val="21"/>
                <w:szCs w:val="21"/>
              </w:rPr>
            </w:pPr>
            <w:r>
              <w:rPr>
                <w:color w:val="auto"/>
              </w:rPr>
              <mc:AlternateContent>
                <mc:Choice Requires="wps">
                  <w:drawing>
                    <wp:anchor distT="0" distB="0" distL="114300" distR="114300" simplePos="0" relativeHeight="251666432" behindDoc="0" locked="0" layoutInCell="1" allowOverlap="1">
                      <wp:simplePos x="0" y="0"/>
                      <wp:positionH relativeFrom="column">
                        <wp:posOffset>2306320</wp:posOffset>
                      </wp:positionH>
                      <wp:positionV relativeFrom="paragraph">
                        <wp:posOffset>2442845</wp:posOffset>
                      </wp:positionV>
                      <wp:extent cx="1108710" cy="361950"/>
                      <wp:effectExtent l="0" t="0" r="0" b="0"/>
                      <wp:wrapNone/>
                      <wp:docPr id="23" name="矩形 23"/>
                      <wp:cNvGraphicFramePr/>
                      <a:graphic xmlns:a="http://schemas.openxmlformats.org/drawingml/2006/main">
                        <a:graphicData uri="http://schemas.microsoft.com/office/word/2010/wordprocessingShape">
                          <wps:wsp>
                            <wps:cNvSpPr/>
                            <wps:spPr>
                              <a:xfrm>
                                <a:off x="0" y="0"/>
                                <a:ext cx="1108710" cy="361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rPr>
                                  </w:pPr>
                                  <w:r>
                                    <w:rPr>
                                      <w:rFonts w:hint="eastAsia"/>
                                      <w:color w:val="FF0000"/>
                                    </w:rPr>
                                    <w:t>废气处理系统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1.6pt;margin-top:192.35pt;height:28.5pt;width:87.3pt;z-index:251666432;v-text-anchor:middle;mso-width-relative:page;mso-height-relative:page;" filled="f" stroked="f" coordsize="21600,21600" o:gfxdata="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8od7OdkAAAALAQAADwAAAAAAAAABACAAAAAiAAAAZHJzL2Rvd25yZXYueG1sUEsBAhQAFAAA&#10;AAgAh07iQNhgLJRgAgAArwQAAA4AAAAAAAAAAQAgAAAAKAEAAGRycy9lMm9Eb2MueG1sUEsFBgAA&#10;AAAGAAYAWQEAAPoFAAAAAA==&#10;">
                      <v:fill on="f" focussize="0,0"/>
                      <v:stroke on="f" weight="1pt" miterlimit="8" joinstyle="miter"/>
                      <v:imagedata o:title=""/>
                      <o:lock v:ext="edit" aspectratio="f"/>
                      <v:textbox>
                        <w:txbxContent>
                          <w:p>
                            <w:pPr>
                              <w:spacing w:line="0" w:lineRule="atLeast"/>
                              <w:jc w:val="center"/>
                              <w:rPr>
                                <w:color w:val="FF0000"/>
                              </w:rPr>
                            </w:pPr>
                            <w:r>
                              <w:rPr>
                                <w:rFonts w:hint="eastAsia"/>
                                <w:color w:val="FF0000"/>
                              </w:rPr>
                              <w:t>废气处理系统</w:t>
                            </w:r>
                          </w:p>
                        </w:txbxContent>
                      </v:textbox>
                    </v:rect>
                  </w:pict>
                </mc:Fallback>
              </mc:AlternateContent>
            </w:r>
            <w:r>
              <w:rPr>
                <w:color w:val="auto"/>
              </w:rPr>
              <mc:AlternateContent>
                <mc:Choice Requires="wps">
                  <w:drawing>
                    <wp:anchor distT="0" distB="0" distL="114300" distR="114300" simplePos="0" relativeHeight="251669504" behindDoc="0" locked="0" layoutInCell="1" allowOverlap="1">
                      <wp:simplePos x="0" y="0"/>
                      <wp:positionH relativeFrom="column">
                        <wp:posOffset>3423285</wp:posOffset>
                      </wp:positionH>
                      <wp:positionV relativeFrom="paragraph">
                        <wp:posOffset>1254125</wp:posOffset>
                      </wp:positionV>
                      <wp:extent cx="845820" cy="352425"/>
                      <wp:effectExtent l="0" t="0" r="0" b="0"/>
                      <wp:wrapNone/>
                      <wp:docPr id="27" name="矩形 27"/>
                      <wp:cNvGraphicFramePr/>
                      <a:graphic xmlns:a="http://schemas.openxmlformats.org/drawingml/2006/main">
                        <a:graphicData uri="http://schemas.microsoft.com/office/word/2010/wordprocessingShape">
                          <wps:wsp>
                            <wps:cNvSpPr/>
                            <wps:spPr>
                              <a:xfrm>
                                <a:off x="0" y="0"/>
                                <a:ext cx="845820" cy="3524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lang w:eastAsia="zh-Hans"/>
                                    </w:rPr>
                                  </w:pPr>
                                  <w:r>
                                    <w:rPr>
                                      <w:rFonts w:hint="eastAsia"/>
                                      <w:color w:val="FF0000"/>
                                      <w:lang w:eastAsia="zh-Hans"/>
                                    </w:rPr>
                                    <w:t>排烟管道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55pt;margin-top:98.75pt;height:27.75pt;width:66.6pt;z-index:251669504;v-text-anchor:middle;mso-width-relative:page;mso-height-relative:page;" filled="f" stroked="f" coordsize="21600,21600" o:gfxdata="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tH90g2QAAAAsBAAAPAAAAAAAAAAEAIAAAACIAAABkcnMvZG93bnJldi54bWxQSwECFAAUAAAA&#10;CACHTuJA7eAaL18CAACuBAAADgAAAAAAAAABACAAAAAoAQAAZHJzL2Uyb0RvYy54bWxQSwUGAAAA&#10;AAYABgBZAQAA+QUAAAAA&#10;">
                      <v:fill on="f" focussize="0,0"/>
                      <v:stroke on="f" weight="1pt" miterlimit="8" joinstyle="miter"/>
                      <v:imagedata o:title=""/>
                      <o:lock v:ext="edit" aspectratio="f"/>
                      <v:textbox>
                        <w:txbxContent>
                          <w:p>
                            <w:pPr>
                              <w:spacing w:line="0" w:lineRule="atLeast"/>
                              <w:jc w:val="center"/>
                              <w:rPr>
                                <w:color w:val="FF0000"/>
                                <w:lang w:eastAsia="zh-Hans"/>
                              </w:rPr>
                            </w:pPr>
                            <w:r>
                              <w:rPr>
                                <w:rFonts w:hint="eastAsia"/>
                                <w:color w:val="FF0000"/>
                                <w:lang w:eastAsia="zh-Hans"/>
                              </w:rPr>
                              <w:t>排烟管道</w:t>
                            </w:r>
                          </w:p>
                        </w:txbxContent>
                      </v:textbox>
                    </v:rect>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503555</wp:posOffset>
                      </wp:positionH>
                      <wp:positionV relativeFrom="paragraph">
                        <wp:posOffset>2678430</wp:posOffset>
                      </wp:positionV>
                      <wp:extent cx="845820" cy="291465"/>
                      <wp:effectExtent l="0" t="0" r="0" b="0"/>
                      <wp:wrapNone/>
                      <wp:docPr id="22" name="矩形 22"/>
                      <wp:cNvGraphicFramePr/>
                      <a:graphic xmlns:a="http://schemas.openxmlformats.org/drawingml/2006/main">
                        <a:graphicData uri="http://schemas.microsoft.com/office/word/2010/wordprocessingShape">
                          <wps:wsp>
                            <wps:cNvSpPr/>
                            <wps:spPr>
                              <a:xfrm>
                                <a:off x="1078230" y="4594860"/>
                                <a:ext cx="845820" cy="2914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lang w:eastAsia="zh-Hans"/>
                                    </w:rPr>
                                  </w:pPr>
                                  <w:r>
                                    <w:rPr>
                                      <w:rFonts w:hint="eastAsia"/>
                                      <w:color w:val="FF0000"/>
                                      <w:lang w:eastAsia="zh-Hans"/>
                                    </w:rPr>
                                    <w:t>排烟管道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65pt;margin-top:210.9pt;height:22.95pt;width:66.6pt;z-index:251665408;v-text-anchor:middle;mso-width-relative:page;mso-height-relative:page;" filled="f" stroked="f" coordsize="21600,21600" o:gfxdata="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25sMtgAAAAKAQAADwAAAAAAAAABACAAAAAiAAAAZHJzL2Rvd25yZXYueG1s&#10;UEsBAhQAFAAAAAgAh07iQHBd7wtqAgAAugQAAA4AAAAAAAAAAQAgAAAAJwEAAGRycy9lMm9Eb2Mu&#10;eG1sUEsFBgAAAAAGAAYAWQEAAAMGAAAAAA==&#10;">
                      <v:fill on="f" focussize="0,0"/>
                      <v:stroke on="f" weight="1pt" miterlimit="8" joinstyle="miter"/>
                      <v:imagedata o:title=""/>
                      <o:lock v:ext="edit" aspectratio="f"/>
                      <v:textbox>
                        <w:txbxContent>
                          <w:p>
                            <w:pPr>
                              <w:spacing w:line="0" w:lineRule="atLeast"/>
                              <w:jc w:val="center"/>
                              <w:rPr>
                                <w:color w:val="FF0000"/>
                                <w:lang w:eastAsia="zh-Hans"/>
                              </w:rPr>
                            </w:pPr>
                            <w:r>
                              <w:rPr>
                                <w:rFonts w:hint="eastAsia"/>
                                <w:color w:val="FF0000"/>
                                <w:lang w:eastAsia="zh-Hans"/>
                              </w:rPr>
                              <w:t>排烟管道</w:t>
                            </w:r>
                          </w:p>
                        </w:txbxContent>
                      </v:textbox>
                    </v:rect>
                  </w:pict>
                </mc:Fallback>
              </mc:AlternateContent>
            </w:r>
            <w:r>
              <w:rPr>
                <w:color w:val="auto"/>
              </w:rPr>
              <w:drawing>
                <wp:inline distT="0" distB="0" distL="114300" distR="114300">
                  <wp:extent cx="4371340" cy="3261360"/>
                  <wp:effectExtent l="0" t="0" r="22860" b="1524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9"/>
                          <a:stretch>
                            <a:fillRect/>
                          </a:stretch>
                        </pic:blipFill>
                        <pic:spPr>
                          <a:xfrm>
                            <a:off x="0" y="0"/>
                            <a:ext cx="4371340" cy="3261360"/>
                          </a:xfrm>
                          <a:prstGeom prst="rect">
                            <a:avLst/>
                          </a:prstGeom>
                          <a:noFill/>
                          <a:ln w="9525">
                            <a:noFill/>
                          </a:ln>
                        </pic:spPr>
                      </pic:pic>
                    </a:graphicData>
                  </a:graphic>
                </wp:inline>
              </w:drawing>
            </w:r>
          </w:p>
          <w:p>
            <w:pPr>
              <w:spacing w:after="0"/>
              <w:jc w:val="center"/>
              <w:rPr>
                <w:rFonts w:ascii="Times New Roman" w:hAnsi="Times New Roman" w:eastAsia="黑体" w:cs="Times New Roman"/>
                <w:bCs/>
                <w:color w:val="auto"/>
                <w:sz w:val="21"/>
                <w:szCs w:val="21"/>
                <w:lang w:eastAsia="zh-Hans"/>
              </w:rPr>
            </w:pPr>
            <w:r>
              <w:rPr>
                <w:color w:val="auto"/>
              </w:rPr>
              <mc:AlternateContent>
                <mc:Choice Requires="wps">
                  <w:drawing>
                    <wp:anchor distT="0" distB="0" distL="114300" distR="114300" simplePos="0" relativeHeight="251668480" behindDoc="0" locked="0" layoutInCell="1" allowOverlap="1">
                      <wp:simplePos x="0" y="0"/>
                      <wp:positionH relativeFrom="column">
                        <wp:posOffset>1610995</wp:posOffset>
                      </wp:positionH>
                      <wp:positionV relativeFrom="paragraph">
                        <wp:posOffset>2541270</wp:posOffset>
                      </wp:positionV>
                      <wp:extent cx="1108710" cy="333375"/>
                      <wp:effectExtent l="0" t="0" r="0" b="0"/>
                      <wp:wrapNone/>
                      <wp:docPr id="26" name="矩形 26"/>
                      <wp:cNvGraphicFramePr/>
                      <a:graphic xmlns:a="http://schemas.openxmlformats.org/drawingml/2006/main">
                        <a:graphicData uri="http://schemas.microsoft.com/office/word/2010/wordprocessingShape">
                          <wps:wsp>
                            <wps:cNvSpPr/>
                            <wps:spPr>
                              <a:xfrm>
                                <a:off x="0" y="0"/>
                                <a:ext cx="1108710"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rPr>
                                  </w:pPr>
                                  <w:r>
                                    <w:rPr>
                                      <w:rFonts w:hint="eastAsia"/>
                                      <w:color w:val="FF0000"/>
                                      <w:lang w:eastAsia="zh-Hans"/>
                                    </w:rPr>
                                    <w:t>废气处理</w:t>
                                  </w:r>
                                  <w:r>
                                    <w:rPr>
                                      <w:rFonts w:hint="eastAsia"/>
                                      <w:color w:val="FF0000"/>
                                    </w:rPr>
                                    <w:t>设施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85pt;margin-top:200.1pt;height:26.25pt;width:87.3pt;z-index:251668480;v-text-anchor:middle;mso-width-relative:page;mso-height-relative:page;" filled="f" stroked="f" coordsize="21600,21600" o:gfxdata="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ZClrNoAAAALAQAADwAAAAAAAAABACAAAAAiAAAAZHJzL2Rvd25yZXYueG1sUEsBAhQAFAAA&#10;AAgAh07iQG5CGd5fAgAArwQAAA4AAAAAAAAAAQAgAAAAKQEAAGRycy9lMm9Eb2MueG1sUEsFBgAA&#10;AAAGAAYAWQEAAPoFAAAAAA==&#10;">
                      <v:fill on="f" focussize="0,0"/>
                      <v:stroke on="f" weight="1pt" miterlimit="8" joinstyle="miter"/>
                      <v:imagedata o:title=""/>
                      <o:lock v:ext="edit" aspectratio="f"/>
                      <v:textbox>
                        <w:txbxContent>
                          <w:p>
                            <w:pPr>
                              <w:spacing w:line="0" w:lineRule="atLeast"/>
                              <w:jc w:val="center"/>
                              <w:rPr>
                                <w:color w:val="FF0000"/>
                              </w:rPr>
                            </w:pPr>
                            <w:r>
                              <w:rPr>
                                <w:rFonts w:hint="eastAsia"/>
                                <w:color w:val="FF0000"/>
                                <w:lang w:eastAsia="zh-Hans"/>
                              </w:rPr>
                              <w:t>废气处理</w:t>
                            </w:r>
                            <w:r>
                              <w:rPr>
                                <w:rFonts w:hint="eastAsia"/>
                                <w:color w:val="FF0000"/>
                              </w:rPr>
                              <w:t>设施</w:t>
                            </w:r>
                          </w:p>
                        </w:txbxContent>
                      </v:textbox>
                    </v:rect>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2788285</wp:posOffset>
                      </wp:positionH>
                      <wp:positionV relativeFrom="paragraph">
                        <wp:posOffset>958215</wp:posOffset>
                      </wp:positionV>
                      <wp:extent cx="845820" cy="291465"/>
                      <wp:effectExtent l="0" t="0" r="0" b="0"/>
                      <wp:wrapNone/>
                      <wp:docPr id="24" name="矩形 24"/>
                      <wp:cNvGraphicFramePr/>
                      <a:graphic xmlns:a="http://schemas.openxmlformats.org/drawingml/2006/main">
                        <a:graphicData uri="http://schemas.microsoft.com/office/word/2010/wordprocessingShape">
                          <wps:wsp>
                            <wps:cNvSpPr/>
                            <wps:spPr>
                              <a:xfrm>
                                <a:off x="0" y="0"/>
                                <a:ext cx="845820" cy="2914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lang w:eastAsia="zh-Hans"/>
                                    </w:rPr>
                                  </w:pPr>
                                  <w:r>
                                    <w:rPr>
                                      <w:rFonts w:hint="eastAsia"/>
                                      <w:color w:val="FF0000"/>
                                      <w:lang w:eastAsia="zh-Hans"/>
                                    </w:rPr>
                                    <w:t>烟囱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55pt;margin-top:75.45pt;height:22.95pt;width:66.6pt;z-index:251667456;v-text-anchor:middle;mso-width-relative:page;mso-height-relative:page;" filled="f" stroked="f" coordsize="21600,21600" o:gfxdata="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R3WzNkAAAALAQAADwAAAAAAAAABACAAAAAiAAAAZHJzL2Rvd25yZXYueG1sUEsBAhQAFAAAAAgA&#10;h07iQGgB8rxdAgAArgQAAA4AAAAAAAAAAQAgAAAAKAEAAGRycy9lMm9Eb2MueG1sUEsFBgAAAAAG&#10;AAYAWQEAAPcFAAAAAA==&#10;">
                      <v:fill on="f" focussize="0,0"/>
                      <v:stroke on="f" weight="1pt" miterlimit="8" joinstyle="miter"/>
                      <v:imagedata o:title=""/>
                      <o:lock v:ext="edit" aspectratio="f"/>
                      <v:textbox>
                        <w:txbxContent>
                          <w:p>
                            <w:pPr>
                              <w:spacing w:line="0" w:lineRule="atLeast"/>
                              <w:jc w:val="center"/>
                              <w:rPr>
                                <w:color w:val="FF0000"/>
                                <w:lang w:eastAsia="zh-Hans"/>
                              </w:rPr>
                            </w:pPr>
                            <w:r>
                              <w:rPr>
                                <w:rFonts w:hint="eastAsia"/>
                                <w:color w:val="FF0000"/>
                                <w:lang w:eastAsia="zh-Hans"/>
                              </w:rPr>
                              <w:t>烟囱</w:t>
                            </w:r>
                          </w:p>
                        </w:txbxContent>
                      </v:textbox>
                    </v:rect>
                  </w:pict>
                </mc:Fallback>
              </mc:AlternateContent>
            </w:r>
            <w:r>
              <w:rPr>
                <w:color w:val="auto"/>
              </w:rPr>
              <w:drawing>
                <wp:inline distT="0" distB="0" distL="114300" distR="114300">
                  <wp:extent cx="3023870" cy="3098800"/>
                  <wp:effectExtent l="0" t="0" r="24130" b="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20"/>
                          <a:srcRect r="29557"/>
                          <a:stretch>
                            <a:fillRect/>
                          </a:stretch>
                        </pic:blipFill>
                        <pic:spPr>
                          <a:xfrm>
                            <a:off x="0" y="0"/>
                            <a:ext cx="3023870" cy="3098800"/>
                          </a:xfrm>
                          <a:prstGeom prst="rect">
                            <a:avLst/>
                          </a:prstGeom>
                          <a:noFill/>
                          <a:ln w="9525">
                            <a:noFill/>
                          </a:ln>
                        </pic:spPr>
                      </pic:pic>
                    </a:graphicData>
                  </a:graphic>
                </wp:inline>
              </w:drawing>
            </w: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r>
              <w:rPr>
                <w:rFonts w:hint="eastAsia" w:ascii="Times New Roman" w:hAnsi="Times New Roman" w:eastAsia="黑体" w:cs="Times New Roman"/>
                <w:bCs/>
                <w:color w:val="auto"/>
                <w:sz w:val="21"/>
                <w:szCs w:val="21"/>
              </w:rPr>
              <w:drawing>
                <wp:anchor distT="0" distB="0" distL="114935" distR="114935" simplePos="0" relativeHeight="251674624" behindDoc="0" locked="0" layoutInCell="1" allowOverlap="1">
                  <wp:simplePos x="0" y="0"/>
                  <wp:positionH relativeFrom="column">
                    <wp:posOffset>2879090</wp:posOffset>
                  </wp:positionH>
                  <wp:positionV relativeFrom="paragraph">
                    <wp:posOffset>67310</wp:posOffset>
                  </wp:positionV>
                  <wp:extent cx="2562860" cy="1922145"/>
                  <wp:effectExtent l="0" t="0" r="8890" b="1905"/>
                  <wp:wrapNone/>
                  <wp:docPr id="69" name="图片 69" descr="f7d7186cf29dfc66381f63f0eff0a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f7d7186cf29dfc66381f63f0eff0a4a"/>
                          <pic:cNvPicPr>
                            <a:picLocks noChangeAspect="1"/>
                          </pic:cNvPicPr>
                        </pic:nvPicPr>
                        <pic:blipFill>
                          <a:blip r:embed="rId21"/>
                          <a:stretch>
                            <a:fillRect/>
                          </a:stretch>
                        </pic:blipFill>
                        <pic:spPr>
                          <a:xfrm>
                            <a:off x="0" y="0"/>
                            <a:ext cx="2562860" cy="1922145"/>
                          </a:xfrm>
                          <a:prstGeom prst="rect">
                            <a:avLst/>
                          </a:prstGeom>
                        </pic:spPr>
                      </pic:pic>
                    </a:graphicData>
                  </a:graphic>
                </wp:anchor>
              </w:drawing>
            </w:r>
            <w:r>
              <w:rPr>
                <w:rFonts w:hint="eastAsia" w:ascii="Times New Roman" w:hAnsi="Times New Roman" w:eastAsia="黑体" w:cs="Times New Roman"/>
                <w:bCs/>
                <w:color w:val="auto"/>
                <w:sz w:val="21"/>
                <w:szCs w:val="21"/>
              </w:rPr>
              <w:drawing>
                <wp:anchor distT="0" distB="0" distL="114935" distR="114935" simplePos="0" relativeHeight="251671552" behindDoc="0" locked="0" layoutInCell="1" allowOverlap="1">
                  <wp:simplePos x="0" y="0"/>
                  <wp:positionH relativeFrom="column">
                    <wp:posOffset>145415</wp:posOffset>
                  </wp:positionH>
                  <wp:positionV relativeFrom="paragraph">
                    <wp:posOffset>58420</wp:posOffset>
                  </wp:positionV>
                  <wp:extent cx="2546985" cy="1910080"/>
                  <wp:effectExtent l="0" t="0" r="5715" b="13970"/>
                  <wp:wrapNone/>
                  <wp:docPr id="66" name="图片 66" descr="7fb6c7fa050f69d749ac5ff0fe8c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7fb6c7fa050f69d749ac5ff0fe8cdee"/>
                          <pic:cNvPicPr>
                            <a:picLocks noChangeAspect="1"/>
                          </pic:cNvPicPr>
                        </pic:nvPicPr>
                        <pic:blipFill>
                          <a:blip r:embed="rId22"/>
                          <a:stretch>
                            <a:fillRect/>
                          </a:stretch>
                        </pic:blipFill>
                        <pic:spPr>
                          <a:xfrm>
                            <a:off x="0" y="0"/>
                            <a:ext cx="2546985" cy="1910080"/>
                          </a:xfrm>
                          <a:prstGeom prst="rect">
                            <a:avLst/>
                          </a:prstGeom>
                        </pic:spPr>
                      </pic:pic>
                    </a:graphicData>
                  </a:graphic>
                </wp:anchor>
              </w:drawing>
            </w:r>
            <w:r>
              <w:rPr>
                <w:color w:val="auto"/>
              </w:rPr>
              <mc:AlternateContent>
                <mc:Choice Requires="wps">
                  <w:drawing>
                    <wp:anchor distT="0" distB="0" distL="114300" distR="114300" simplePos="0" relativeHeight="251672576" behindDoc="0" locked="0" layoutInCell="1" allowOverlap="1">
                      <wp:simplePos x="0" y="0"/>
                      <wp:positionH relativeFrom="column">
                        <wp:posOffset>1651635</wp:posOffset>
                      </wp:positionH>
                      <wp:positionV relativeFrom="paragraph">
                        <wp:posOffset>6648450</wp:posOffset>
                      </wp:positionV>
                      <wp:extent cx="1108710" cy="333375"/>
                      <wp:effectExtent l="0" t="0" r="0" b="0"/>
                      <wp:wrapNone/>
                      <wp:docPr id="67" name="矩形 67"/>
                      <wp:cNvGraphicFramePr/>
                      <a:graphic xmlns:a="http://schemas.openxmlformats.org/drawingml/2006/main">
                        <a:graphicData uri="http://schemas.microsoft.com/office/word/2010/wordprocessingShape">
                          <wps:wsp>
                            <wps:cNvSpPr/>
                            <wps:spPr>
                              <a:xfrm>
                                <a:off x="0" y="0"/>
                                <a:ext cx="1108710"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rPr>
                                  </w:pPr>
                                  <w:r>
                                    <w:rPr>
                                      <w:rFonts w:hint="eastAsia"/>
                                      <w:color w:val="FF0000"/>
                                      <w:lang w:eastAsia="zh-Hans"/>
                                    </w:rPr>
                                    <w:t>废气处理</w:t>
                                  </w:r>
                                  <w:r>
                                    <w:rPr>
                                      <w:rFonts w:hint="eastAsia"/>
                                      <w:color w:val="FF0000"/>
                                    </w:rPr>
                                    <w:t>设施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0.05pt;margin-top:523.5pt;height:26.25pt;width:87.3pt;z-index:251672576;v-text-anchor:middle;mso-width-relative:page;mso-height-relative:page;" filled="f" stroked="f" coordsize="21600,21600" o:gfxdata="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poNatoAAAANAQAADwAAAAAAAAABACAAAAAiAAAAZHJzL2Rvd25yZXYueG1sUEsBAhQAFAAA&#10;AAgAh07iQDxCLMBfAgAArwQAAA4AAAAAAAAAAQAgAAAAKQEAAGRycy9lMm9Eb2MueG1sUEsFBgAA&#10;AAAGAAYAWQEAAPoFAAAAAA==&#10;">
                      <v:fill on="f" focussize="0,0"/>
                      <v:stroke on="f" weight="1pt" miterlimit="8" joinstyle="miter"/>
                      <v:imagedata o:title=""/>
                      <o:lock v:ext="edit" aspectratio="f"/>
                      <v:textbox>
                        <w:txbxContent>
                          <w:p>
                            <w:pPr>
                              <w:spacing w:line="0" w:lineRule="atLeast"/>
                              <w:jc w:val="center"/>
                              <w:rPr>
                                <w:color w:val="FF0000"/>
                              </w:rPr>
                            </w:pPr>
                            <w:r>
                              <w:rPr>
                                <w:rFonts w:hint="eastAsia"/>
                                <w:color w:val="FF0000"/>
                                <w:lang w:eastAsia="zh-Hans"/>
                              </w:rPr>
                              <w:t>废气处理</w:t>
                            </w:r>
                            <w:r>
                              <w:rPr>
                                <w:rFonts w:hint="eastAsia"/>
                                <w:color w:val="FF0000"/>
                              </w:rPr>
                              <w:t>设施</w:t>
                            </w:r>
                          </w:p>
                        </w:txbxContent>
                      </v:textbox>
                    </v:rect>
                  </w:pict>
                </mc:Fallback>
              </mc:AlternateContent>
            </w: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r>
              <w:rPr>
                <w:color w:val="auto"/>
              </w:rPr>
              <mc:AlternateContent>
                <mc:Choice Requires="wps">
                  <w:drawing>
                    <wp:anchor distT="0" distB="0" distL="114300" distR="114300" simplePos="0" relativeHeight="251673600" behindDoc="0" locked="0" layoutInCell="1" allowOverlap="1">
                      <wp:simplePos x="0" y="0"/>
                      <wp:positionH relativeFrom="column">
                        <wp:posOffset>875030</wp:posOffset>
                      </wp:positionH>
                      <wp:positionV relativeFrom="paragraph">
                        <wp:posOffset>104140</wp:posOffset>
                      </wp:positionV>
                      <wp:extent cx="1108710" cy="333375"/>
                      <wp:effectExtent l="0" t="0" r="0" b="0"/>
                      <wp:wrapNone/>
                      <wp:docPr id="68" name="矩形 68"/>
                      <wp:cNvGraphicFramePr/>
                      <a:graphic xmlns:a="http://schemas.openxmlformats.org/drawingml/2006/main">
                        <a:graphicData uri="http://schemas.microsoft.com/office/word/2010/wordprocessingShape">
                          <wps:wsp>
                            <wps:cNvSpPr/>
                            <wps:spPr>
                              <a:xfrm>
                                <a:off x="0" y="0"/>
                                <a:ext cx="1108710"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rPr>
                                  </w:pPr>
                                  <w:r>
                                    <w:rPr>
                                      <w:rFonts w:hint="eastAsia"/>
                                      <w:color w:val="FF0000"/>
                                    </w:rPr>
                                    <w:t>DOC+POC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8.9pt;margin-top:8.2pt;height:26.25pt;width:87.3pt;z-index:251673600;v-text-anchor:middle;mso-width-relative:page;mso-height-relative:page;" filled="f" stroked="f" coordsize="21600,21600" o:gfxdata="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d&#10;7MAo1gAAAAkBAAAPAAAAAAAAAAEAIAAAACIAAABkcnMvZG93bnJldi54bWxQSwECFAAUAAAACACH&#10;TuJAoi0JNl8CAACvBAAADgAAAAAAAAABACAAAAAlAQAAZHJzL2Uyb0RvYy54bWxQSwUGAAAAAAYA&#10;BgBZAQAA9gUAAAAA&#10;">
                      <v:fill on="f" focussize="0,0"/>
                      <v:stroke on="f" weight="1pt" miterlimit="8" joinstyle="miter"/>
                      <v:imagedata o:title=""/>
                      <o:lock v:ext="edit" aspectratio="f"/>
                      <v:textbox>
                        <w:txbxContent>
                          <w:p>
                            <w:pPr>
                              <w:spacing w:line="0" w:lineRule="atLeast"/>
                              <w:jc w:val="center"/>
                              <w:rPr>
                                <w:color w:val="FF0000"/>
                              </w:rPr>
                            </w:pPr>
                            <w:r>
                              <w:rPr>
                                <w:rFonts w:hint="eastAsia"/>
                                <w:color w:val="FF0000"/>
                              </w:rPr>
                              <w:t>DOC+POC</w:t>
                            </w:r>
                          </w:p>
                        </w:txbxContent>
                      </v:textbox>
                    </v:rect>
                  </w:pict>
                </mc:Fallback>
              </mc:AlternateContent>
            </w:r>
          </w:p>
          <w:p>
            <w:pPr>
              <w:spacing w:after="0"/>
              <w:jc w:val="center"/>
              <w:rPr>
                <w:rFonts w:ascii="Times New Roman" w:hAnsi="Times New Roman" w:eastAsia="黑体" w:cs="Times New Roman"/>
                <w:bCs/>
                <w:color w:val="auto"/>
                <w:sz w:val="21"/>
                <w:szCs w:val="21"/>
                <w:lang w:eastAsia="zh-Hans"/>
              </w:rPr>
            </w:pPr>
            <w:r>
              <w:rPr>
                <w:color w:val="auto"/>
              </w:rPr>
              <mc:AlternateContent>
                <mc:Choice Requires="wps">
                  <w:drawing>
                    <wp:anchor distT="0" distB="0" distL="114300" distR="114300" simplePos="0" relativeHeight="251675648" behindDoc="0" locked="0" layoutInCell="1" allowOverlap="1">
                      <wp:simplePos x="0" y="0"/>
                      <wp:positionH relativeFrom="column">
                        <wp:posOffset>3799840</wp:posOffset>
                      </wp:positionH>
                      <wp:positionV relativeFrom="paragraph">
                        <wp:posOffset>13970</wp:posOffset>
                      </wp:positionV>
                      <wp:extent cx="1108710" cy="333375"/>
                      <wp:effectExtent l="0" t="0" r="0" b="0"/>
                      <wp:wrapNone/>
                      <wp:docPr id="70" name="矩形 70"/>
                      <wp:cNvGraphicFramePr/>
                      <a:graphic xmlns:a="http://schemas.openxmlformats.org/drawingml/2006/main">
                        <a:graphicData uri="http://schemas.microsoft.com/office/word/2010/wordprocessingShape">
                          <wps:wsp>
                            <wps:cNvSpPr/>
                            <wps:spPr>
                              <a:xfrm>
                                <a:off x="0" y="0"/>
                                <a:ext cx="1108710"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pPr>
                                    <w:spacing w:line="0" w:lineRule="atLeast"/>
                                    <w:jc w:val="center"/>
                                    <w:rPr>
                                      <w:color w:val="FF0000"/>
                                    </w:rPr>
                                  </w:pPr>
                                  <w:r>
                                    <w:rPr>
                                      <w:rFonts w:hint="eastAsia"/>
                                      <w:color w:val="FF0000"/>
                                    </w:rPr>
                                    <w:t>SCR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9.2pt;margin-top:1.1pt;height:26.25pt;width:87.3pt;z-index:251675648;v-text-anchor:middle;mso-width-relative:page;mso-height-relative:page;" filled="f" stroked="f" coordsize="21600,21600" o:gfxdata="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HT&#10;pojWAAAACAEAAA8AAAAAAAAAAQAgAAAAIgAAAGRycy9kb3ducmV2LnhtbFBLAQIUABQAAAAIAIdO&#10;4kCGp86wXgIAAK8EAAAOAAAAAAAAAAEAIAAAACUBAABkcnMvZTJvRG9jLnhtbFBLBQYAAAAABgAG&#10;AFkBAAD1BQAAAAA=&#10;">
                      <v:fill on="f" focussize="0,0"/>
                      <v:stroke on="f" weight="1pt" miterlimit="8" joinstyle="miter"/>
                      <v:imagedata o:title=""/>
                      <o:lock v:ext="edit" aspectratio="f"/>
                      <v:textbox>
                        <w:txbxContent>
                          <w:p>
                            <w:pPr>
                              <w:spacing w:line="0" w:lineRule="atLeast"/>
                              <w:jc w:val="center"/>
                              <w:rPr>
                                <w:color w:val="FF0000"/>
                              </w:rPr>
                            </w:pPr>
                            <w:r>
                              <w:rPr>
                                <w:rFonts w:hint="eastAsia"/>
                                <w:color w:val="FF0000"/>
                              </w:rPr>
                              <w:t>SCR</w:t>
                            </w:r>
                          </w:p>
                        </w:txbxContent>
                      </v:textbox>
                    </v:rect>
                  </w:pict>
                </mc:Fallback>
              </mc:AlternateContent>
            </w: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p>
          <w:p>
            <w:pPr>
              <w:spacing w:after="0"/>
              <w:jc w:val="center"/>
              <w:rPr>
                <w:rFonts w:ascii="Times New Roman" w:hAnsi="Times New Roman" w:eastAsia="黑体" w:cs="Times New Roman"/>
                <w:bCs/>
                <w:color w:val="auto"/>
                <w:sz w:val="21"/>
                <w:szCs w:val="21"/>
                <w:lang w:eastAsia="zh-Hans"/>
              </w:rPr>
            </w:pPr>
            <w:r>
              <w:rPr>
                <w:rFonts w:hint="eastAsia" w:ascii="Times New Roman" w:hAnsi="Times New Roman" w:eastAsia="黑体" w:cs="Times New Roman"/>
                <w:bCs/>
                <w:color w:val="auto"/>
                <w:sz w:val="21"/>
                <w:szCs w:val="21"/>
                <w:lang w:eastAsia="zh-Hans"/>
              </w:rPr>
              <w:t>图</w:t>
            </w:r>
            <w:r>
              <w:rPr>
                <w:rFonts w:ascii="Times New Roman" w:hAnsi="Times New Roman" w:eastAsia="黑体" w:cs="Times New Roman"/>
                <w:bCs/>
                <w:color w:val="auto"/>
                <w:sz w:val="21"/>
                <w:szCs w:val="21"/>
                <w:lang w:eastAsia="zh-Hans"/>
              </w:rPr>
              <w:t xml:space="preserve">3-3 </w:t>
            </w:r>
            <w:r>
              <w:rPr>
                <w:rFonts w:hint="eastAsia" w:ascii="Times New Roman" w:hAnsi="Times New Roman" w:eastAsia="黑体" w:cs="Times New Roman"/>
                <w:bCs/>
                <w:color w:val="auto"/>
                <w:sz w:val="21"/>
                <w:szCs w:val="21"/>
              </w:rPr>
              <w:t>废气处理设施及各模块现场</w:t>
            </w:r>
            <w:r>
              <w:rPr>
                <w:rFonts w:hint="eastAsia" w:ascii="Times New Roman" w:hAnsi="Times New Roman" w:eastAsia="黑体" w:cs="Times New Roman"/>
                <w:bCs/>
                <w:color w:val="auto"/>
                <w:sz w:val="21"/>
                <w:szCs w:val="21"/>
                <w:lang w:eastAsia="zh-Hans"/>
              </w:rPr>
              <w:t>照片</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ascii="Times New Roman" w:hAnsi="Times New Roman" w:eastAsia="宋体" w:cs="Times New Roman"/>
                <w:color w:val="auto"/>
                <w:sz w:val="21"/>
                <w:szCs w:val="21"/>
              </w:rPr>
            </w:pPr>
            <w:r>
              <w:rPr>
                <w:rFonts w:hint="eastAsia" w:ascii="Times New Roman" w:hAnsi="Times New Roman" w:eastAsia="黑体" w:cs="Times New Roman"/>
                <w:bCs/>
                <w:color w:val="auto"/>
                <w:sz w:val="21"/>
                <w:szCs w:val="21"/>
              </w:rPr>
              <w:t>2. 废水</w:t>
            </w:r>
          </w:p>
          <w:p>
            <w:pPr>
              <w:keepNext w:val="0"/>
              <w:keepLines w:val="0"/>
              <w:pageBreakBefore w:val="0"/>
              <w:widowControl/>
              <w:kinsoku/>
              <w:wordWrap/>
              <w:overflowPunct/>
              <w:topLinePunct w:val="0"/>
              <w:autoSpaceDE/>
              <w:autoSpaceDN/>
              <w:bidi w:val="0"/>
              <w:adjustRightInd w:val="0"/>
              <w:snapToGrid w:val="0"/>
              <w:spacing w:after="0" w:line="480" w:lineRule="exact"/>
              <w:ind w:firstLine="420" w:firstLineChars="200"/>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本项目职工福田康明斯公司内部调配，不新增生活污水排放。</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福田康明斯公司职工生活外排污水由依托福田康明斯公司现有的污水处理站，污水处理站出水全部回用于厂区绿化和冲厕，不外排。根据通标标准技术服务（天津）有限公司2022年3月对现有污水处理站出水出具的检测报告（TJE22-00316 R1）表明，废水中的主要污染物能够满足北京市标准《水污染物综合排放标准》（DB11/ 307-2013）表1B排放限值，同时能够达到《城市污水再生利用城市杂用水水质》（GB/T18920-2002）标准。本次项目不新增废水，因此验收内容不包括废水污染防治设施，待整体项目完成后一并验收。</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黑体" w:cs="Times New Roman"/>
                <w:b/>
                <w:color w:val="auto"/>
                <w:sz w:val="21"/>
                <w:szCs w:val="21"/>
                <w:lang w:val="en-US" w:eastAsia="zh-CN"/>
              </w:rPr>
            </w:pPr>
            <w:r>
              <w:rPr>
                <w:rFonts w:hint="eastAsia" w:ascii="Times New Roman" w:hAnsi="Times New Roman" w:eastAsia="黑体" w:cs="Times New Roman"/>
                <w:bCs/>
                <w:color w:val="auto"/>
                <w:sz w:val="21"/>
                <w:szCs w:val="21"/>
              </w:rPr>
              <w:t xml:space="preserve">表3-1 </w:t>
            </w:r>
            <w:r>
              <w:rPr>
                <w:rFonts w:hint="eastAsia" w:ascii="Times New Roman" w:hAnsi="Times New Roman" w:eastAsia="黑体" w:cs="Times New Roman"/>
                <w:bCs/>
                <w:color w:val="auto"/>
                <w:sz w:val="21"/>
                <w:szCs w:val="21"/>
                <w:lang w:val="en-US" w:eastAsia="zh-CN"/>
              </w:rPr>
              <w:t>现有污水处理站水质检测结果</w:t>
            </w:r>
          </w:p>
          <w:tbl>
            <w:tblPr>
              <w:tblStyle w:val="19"/>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2561"/>
              <w:gridCol w:w="2944"/>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974" w:type="pct"/>
                  <w:vAlign w:val="center"/>
                </w:tcPr>
                <w:p>
                  <w:pPr>
                    <w:spacing w:after="0"/>
                    <w:jc w:val="center"/>
                    <w:rPr>
                      <w:rFonts w:hint="default" w:ascii="Times New Roman" w:hAnsi="Times New Roman" w:eastAsia="宋体" w:cs="Times New Roman"/>
                      <w:b/>
                      <w:bCs w:val="0"/>
                      <w:color w:val="auto"/>
                      <w:sz w:val="18"/>
                      <w:szCs w:val="18"/>
                      <w:lang w:val="en-US" w:eastAsia="zh-CN"/>
                    </w:rPr>
                  </w:pPr>
                  <w:r>
                    <w:rPr>
                      <w:rFonts w:hint="eastAsia" w:ascii="Times New Roman" w:hAnsi="Times New Roman" w:eastAsia="宋体" w:cs="Times New Roman"/>
                      <w:b/>
                      <w:bCs w:val="0"/>
                      <w:color w:val="auto"/>
                      <w:sz w:val="18"/>
                      <w:szCs w:val="18"/>
                      <w:lang w:val="en-US" w:eastAsia="zh-CN"/>
                    </w:rPr>
                    <w:t>分析指标</w:t>
                  </w:r>
                </w:p>
              </w:tc>
              <w:tc>
                <w:tcPr>
                  <w:tcW w:w="1521" w:type="pct"/>
                  <w:vAlign w:val="center"/>
                </w:tcPr>
                <w:p>
                  <w:pPr>
                    <w:spacing w:after="0"/>
                    <w:jc w:val="center"/>
                    <w:rPr>
                      <w:rFonts w:hint="default" w:ascii="Times New Roman" w:hAnsi="Times New Roman" w:eastAsia="宋体" w:cs="Times New Roman"/>
                      <w:b/>
                      <w:bCs w:val="0"/>
                      <w:color w:val="auto"/>
                      <w:sz w:val="18"/>
                      <w:szCs w:val="18"/>
                      <w:lang w:val="en-US" w:eastAsia="zh-CN"/>
                    </w:rPr>
                  </w:pPr>
                  <w:r>
                    <w:rPr>
                      <w:rFonts w:hint="eastAsia" w:ascii="Times New Roman" w:hAnsi="Times New Roman" w:eastAsia="宋体" w:cs="Times New Roman"/>
                      <w:b/>
                      <w:bCs w:val="0"/>
                      <w:color w:val="auto"/>
                      <w:sz w:val="18"/>
                      <w:szCs w:val="18"/>
                      <w:lang w:val="en-US" w:eastAsia="zh-CN"/>
                    </w:rPr>
                    <w:t>检测结果(mg/L，</w:t>
                  </w:r>
                  <w:r>
                    <w:rPr>
                      <w:b/>
                      <w:bCs w:val="0"/>
                      <w:color w:val="auto"/>
                      <w:sz w:val="18"/>
                      <w:szCs w:val="18"/>
                    </w:rPr>
                    <w:t>pH</w:t>
                  </w:r>
                  <w:r>
                    <w:rPr>
                      <w:rFonts w:hint="eastAsia"/>
                      <w:b/>
                      <w:bCs w:val="0"/>
                      <w:color w:val="auto"/>
                      <w:sz w:val="18"/>
                      <w:szCs w:val="18"/>
                      <w:lang w:val="en-US" w:eastAsia="zh-CN"/>
                    </w:rPr>
                    <w:t>无量纲</w:t>
                  </w:r>
                  <w:r>
                    <w:rPr>
                      <w:rFonts w:hint="eastAsia" w:ascii="Times New Roman" w:hAnsi="Times New Roman" w:eastAsia="宋体" w:cs="Times New Roman"/>
                      <w:b/>
                      <w:bCs w:val="0"/>
                      <w:color w:val="auto"/>
                      <w:sz w:val="18"/>
                      <w:szCs w:val="18"/>
                      <w:lang w:val="en-US" w:eastAsia="zh-CN"/>
                    </w:rPr>
                    <w:t>)</w:t>
                  </w:r>
                </w:p>
              </w:tc>
              <w:tc>
                <w:tcPr>
                  <w:tcW w:w="1748" w:type="pct"/>
                  <w:vAlign w:val="center"/>
                </w:tcPr>
                <w:p>
                  <w:pPr>
                    <w:spacing w:after="0"/>
                    <w:jc w:val="center"/>
                    <w:rPr>
                      <w:rFonts w:hint="default" w:ascii="Times New Roman" w:hAnsi="Times New Roman" w:eastAsia="宋体" w:cs="Times New Roman"/>
                      <w:b/>
                      <w:bCs w:val="0"/>
                      <w:color w:val="auto"/>
                      <w:sz w:val="18"/>
                      <w:szCs w:val="18"/>
                      <w:lang w:val="en-US" w:eastAsia="zh-CN"/>
                    </w:rPr>
                  </w:pPr>
                  <w:r>
                    <w:rPr>
                      <w:rFonts w:hint="eastAsia" w:ascii="Times New Roman" w:hAnsi="Times New Roman" w:eastAsia="宋体" w:cs="Times New Roman"/>
                      <w:b/>
                      <w:bCs w:val="0"/>
                      <w:color w:val="auto"/>
                      <w:sz w:val="18"/>
                      <w:szCs w:val="18"/>
                      <w:lang w:val="en-US" w:eastAsia="zh-CN"/>
                    </w:rPr>
                    <w:t>本项目执行标准(mg/L，</w:t>
                  </w:r>
                  <w:r>
                    <w:rPr>
                      <w:b/>
                      <w:bCs w:val="0"/>
                      <w:color w:val="auto"/>
                      <w:sz w:val="18"/>
                      <w:szCs w:val="18"/>
                    </w:rPr>
                    <w:t>pH</w:t>
                  </w:r>
                  <w:r>
                    <w:rPr>
                      <w:rFonts w:hint="eastAsia"/>
                      <w:b/>
                      <w:bCs w:val="0"/>
                      <w:color w:val="auto"/>
                      <w:sz w:val="18"/>
                      <w:szCs w:val="18"/>
                      <w:lang w:val="en-US" w:eastAsia="zh-CN"/>
                    </w:rPr>
                    <w:t>无量纲</w:t>
                  </w:r>
                  <w:r>
                    <w:rPr>
                      <w:rFonts w:hint="eastAsia" w:ascii="Times New Roman" w:hAnsi="Times New Roman" w:eastAsia="宋体" w:cs="Times New Roman"/>
                      <w:b/>
                      <w:bCs w:val="0"/>
                      <w:color w:val="auto"/>
                      <w:sz w:val="18"/>
                      <w:szCs w:val="18"/>
                      <w:lang w:val="en-US" w:eastAsia="zh-CN"/>
                    </w:rPr>
                    <w:t>)</w:t>
                  </w:r>
                </w:p>
              </w:tc>
              <w:tc>
                <w:tcPr>
                  <w:tcW w:w="755" w:type="pct"/>
                  <w:vAlign w:val="center"/>
                </w:tcPr>
                <w:p>
                  <w:pPr>
                    <w:spacing w:after="0"/>
                    <w:jc w:val="center"/>
                    <w:rPr>
                      <w:rFonts w:hint="default" w:ascii="Times New Roman" w:hAnsi="Times New Roman" w:eastAsia="宋体" w:cs="Times New Roman"/>
                      <w:b/>
                      <w:bCs w:val="0"/>
                      <w:color w:val="auto"/>
                      <w:sz w:val="18"/>
                      <w:szCs w:val="18"/>
                      <w:lang w:val="en-US" w:eastAsia="zh-CN"/>
                    </w:rPr>
                  </w:pPr>
                  <w:r>
                    <w:rPr>
                      <w:rFonts w:hint="eastAsia" w:ascii="Times New Roman" w:hAnsi="Times New Roman" w:eastAsia="宋体" w:cs="Times New Roman"/>
                      <w:b/>
                      <w:bCs w:val="0"/>
                      <w:color w:val="auto"/>
                      <w:sz w:val="18"/>
                      <w:szCs w:val="18"/>
                      <w:lang w:val="en-US" w:eastAsia="zh-CN"/>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74"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pH</w:t>
                  </w:r>
                </w:p>
              </w:tc>
              <w:tc>
                <w:tcPr>
                  <w:tcW w:w="1521" w:type="pct"/>
                  <w:vAlign w:val="center"/>
                </w:tcPr>
                <w:p>
                  <w:pPr>
                    <w:spacing w:after="0"/>
                    <w:jc w:val="center"/>
                    <w:rPr>
                      <w:rFonts w:hint="eastAsia"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8</w:t>
                  </w:r>
                </w:p>
              </w:tc>
              <w:tc>
                <w:tcPr>
                  <w:tcW w:w="1748" w:type="pct"/>
                  <w:vAlign w:val="center"/>
                </w:tcPr>
                <w:p>
                  <w:pPr>
                    <w:spacing w:after="0"/>
                    <w:jc w:val="center"/>
                    <w:rPr>
                      <w:rFonts w:ascii="Times New Roman" w:hAnsi="Times New Roman" w:eastAsia="宋体" w:cs="Times New Roman"/>
                      <w:bCs/>
                      <w:color w:val="auto"/>
                      <w:sz w:val="18"/>
                      <w:szCs w:val="18"/>
                    </w:rPr>
                  </w:pPr>
                  <w:r>
                    <w:rPr>
                      <w:color w:val="auto"/>
                      <w:sz w:val="18"/>
                      <w:szCs w:val="18"/>
                    </w:rPr>
                    <w:t>6~9</w:t>
                  </w:r>
                </w:p>
              </w:tc>
              <w:tc>
                <w:tcPr>
                  <w:tcW w:w="755" w:type="pct"/>
                  <w:vAlign w:val="center"/>
                </w:tcPr>
                <w:p>
                  <w:pPr>
                    <w:tabs>
                      <w:tab w:val="left" w:pos="552"/>
                      <w:tab w:val="center" w:pos="765"/>
                    </w:tabs>
                    <w:spacing w:after="0"/>
                    <w:jc w:val="center"/>
                    <w:rPr>
                      <w:rFonts w:hint="eastAsia"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74"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化学需氧量</w:t>
                  </w:r>
                </w:p>
              </w:tc>
              <w:tc>
                <w:tcPr>
                  <w:tcW w:w="1521"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19</w:t>
                  </w:r>
                </w:p>
              </w:tc>
              <w:tc>
                <w:tcPr>
                  <w:tcW w:w="1748"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30</w:t>
                  </w:r>
                </w:p>
              </w:tc>
              <w:tc>
                <w:tcPr>
                  <w:tcW w:w="755" w:type="pct"/>
                  <w:vAlign w:val="center"/>
                </w:tcPr>
                <w:p>
                  <w:pPr>
                    <w:spacing w:after="0"/>
                    <w:jc w:val="center"/>
                    <w:rPr>
                      <w:rFonts w:hint="eastAsia"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74" w:type="pct"/>
                  <w:vAlign w:val="center"/>
                </w:tcPr>
                <w:p>
                  <w:pPr>
                    <w:spacing w:after="0"/>
                    <w:jc w:val="center"/>
                    <w:rPr>
                      <w:rFonts w:hint="eastAsia"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氨氮</w:t>
                  </w:r>
                </w:p>
              </w:tc>
              <w:tc>
                <w:tcPr>
                  <w:tcW w:w="1521"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0.053</w:t>
                  </w:r>
                </w:p>
              </w:tc>
              <w:tc>
                <w:tcPr>
                  <w:tcW w:w="1748"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1.5</w:t>
                  </w:r>
                </w:p>
              </w:tc>
              <w:tc>
                <w:tcPr>
                  <w:tcW w:w="75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74"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悬浮物</w:t>
                  </w:r>
                </w:p>
              </w:tc>
              <w:tc>
                <w:tcPr>
                  <w:tcW w:w="1521"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ND</w:t>
                  </w:r>
                </w:p>
              </w:tc>
              <w:tc>
                <w:tcPr>
                  <w:tcW w:w="1748" w:type="pct"/>
                  <w:vAlign w:val="center"/>
                </w:tcPr>
                <w:p>
                  <w:pPr>
                    <w:spacing w:after="0"/>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10</w:t>
                  </w:r>
                </w:p>
              </w:tc>
              <w:tc>
                <w:tcPr>
                  <w:tcW w:w="75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000" w:type="pct"/>
                  <w:gridSpan w:val="4"/>
                  <w:vAlign w:val="center"/>
                </w:tcPr>
                <w:p>
                  <w:pPr>
                    <w:keepNext w:val="0"/>
                    <w:keepLines w:val="0"/>
                    <w:pageBreakBefore w:val="0"/>
                    <w:widowControl/>
                    <w:kinsoku/>
                    <w:wordWrap/>
                    <w:overflowPunct/>
                    <w:topLinePunct w:val="0"/>
                    <w:autoSpaceDE/>
                    <w:autoSpaceDN/>
                    <w:bidi w:val="0"/>
                    <w:adjustRightInd w:val="0"/>
                    <w:snapToGrid w:val="0"/>
                    <w:spacing w:after="0" w:line="0" w:lineRule="atLeast"/>
                    <w:jc w:val="left"/>
                    <w:textAlignment w:val="auto"/>
                    <w:rPr>
                      <w:rFonts w:hint="eastAsia" w:ascii="Times New Roman" w:hAnsi="Times New Roman" w:eastAsia="微软雅黑" w:cs="Times New Roman"/>
                      <w:bCs/>
                      <w:color w:val="auto"/>
                      <w:sz w:val="21"/>
                      <w:szCs w:val="21"/>
                      <w:lang w:val="en-US" w:eastAsia="zh-CN"/>
                    </w:rPr>
                  </w:pPr>
                  <w:r>
                    <w:rPr>
                      <w:rFonts w:hint="eastAsia" w:ascii="宋体" w:hAnsi="宋体" w:eastAsia="宋体" w:cs="宋体"/>
                      <w:color w:val="auto"/>
                      <w:sz w:val="18"/>
                      <w:szCs w:val="18"/>
                      <w:lang w:val="en-US" w:eastAsia="zh-CN"/>
                    </w:rPr>
                    <w:t>备注：本项目污水处理站</w:t>
                  </w:r>
                  <w:r>
                    <w:rPr>
                      <w:rFonts w:hint="eastAsia" w:ascii="宋体" w:hAnsi="宋体" w:eastAsia="宋体" w:cs="宋体"/>
                      <w:color w:val="auto"/>
                      <w:sz w:val="18"/>
                      <w:szCs w:val="18"/>
                    </w:rPr>
                    <w:t>出水</w:t>
                  </w:r>
                  <w:r>
                    <w:rPr>
                      <w:rFonts w:hint="eastAsia" w:ascii="宋体" w:hAnsi="宋体" w:eastAsia="宋体" w:cs="宋体"/>
                      <w:color w:val="auto"/>
                      <w:sz w:val="18"/>
                      <w:szCs w:val="18"/>
                      <w:lang w:val="en-US" w:eastAsia="zh-CN"/>
                    </w:rPr>
                    <w:t>同时</w:t>
                  </w:r>
                  <w:r>
                    <w:rPr>
                      <w:rFonts w:hint="eastAsia" w:ascii="宋体" w:hAnsi="宋体" w:eastAsia="宋体" w:cs="宋体"/>
                      <w:color w:val="auto"/>
                      <w:sz w:val="18"/>
                      <w:szCs w:val="18"/>
                    </w:rPr>
                    <w:t>执行《城市污水再生利用城市杂用水水质》（GB/T18920-2020）绿化和冲厕标准，同时需要达到《北京市水污染物综合排放标准》（DB11/307-2013）中表1排入地表水体的水污染物排放限值中的B排放限值</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从严取值</w:t>
                  </w:r>
                  <w:r>
                    <w:rPr>
                      <w:rFonts w:hint="eastAsia" w:ascii="宋体" w:hAnsi="宋体" w:eastAsia="宋体" w:cs="宋体"/>
                      <w:color w:val="auto"/>
                      <w:sz w:val="18"/>
                      <w:szCs w:val="18"/>
                      <w:lang w:eastAsia="zh-CN"/>
                    </w:rPr>
                    <w:t>。</w:t>
                  </w:r>
                </w:p>
              </w:tc>
            </w:tr>
          </w:tbl>
          <w:p>
            <w:pPr>
              <w:keepNext w:val="0"/>
              <w:keepLines w:val="0"/>
              <w:pageBreakBefore w:val="0"/>
              <w:widowControl/>
              <w:kinsoku/>
              <w:wordWrap/>
              <w:overflowPunct/>
              <w:topLinePunct w:val="0"/>
              <w:autoSpaceDE/>
              <w:autoSpaceDN/>
              <w:bidi w:val="0"/>
              <w:adjustRightInd w:val="0"/>
              <w:snapToGrid w:val="0"/>
              <w:spacing w:after="0" w:line="500" w:lineRule="exact"/>
              <w:ind w:firstLine="0" w:firstLineChars="0"/>
              <w:textAlignment w:val="auto"/>
              <w:rPr>
                <w:rFonts w:ascii="Times New Roman" w:hAnsi="Times New Roman" w:eastAsia="宋体" w:cs="Times New Roman"/>
                <w:color w:val="auto"/>
                <w:sz w:val="21"/>
                <w:szCs w:val="21"/>
              </w:rPr>
            </w:pPr>
            <w:r>
              <w:rPr>
                <w:rFonts w:hint="eastAsia" w:ascii="Times New Roman" w:hAnsi="Times New Roman" w:eastAsia="黑体" w:cs="Times New Roman"/>
                <w:bCs/>
                <w:color w:val="auto"/>
                <w:sz w:val="21"/>
                <w:szCs w:val="21"/>
              </w:rPr>
              <w:t>3. 噪声</w:t>
            </w:r>
          </w:p>
          <w:p>
            <w:pPr>
              <w:keepNext w:val="0"/>
              <w:keepLines w:val="0"/>
              <w:pageBreakBefore w:val="0"/>
              <w:widowControl/>
              <w:kinsoku/>
              <w:wordWrap/>
              <w:overflowPunct/>
              <w:topLinePunct w:val="0"/>
              <w:autoSpaceDE/>
              <w:autoSpaceDN/>
              <w:bidi w:val="0"/>
              <w:adjustRightInd w:val="0"/>
              <w:snapToGrid w:val="0"/>
              <w:spacing w:after="0" w:line="480" w:lineRule="exact"/>
              <w:ind w:firstLine="420" w:firstLineChars="20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本项目噪声源主要为试验</w:t>
            </w:r>
            <w:r>
              <w:rPr>
                <w:rFonts w:hint="eastAsia" w:ascii="Times New Roman" w:hAnsi="Times New Roman" w:eastAsia="宋体" w:cs="Times New Roman"/>
                <w:color w:val="auto"/>
                <w:sz w:val="21"/>
                <w:szCs w:val="21"/>
              </w:rPr>
              <w:t>台架等设备运转</w:t>
            </w:r>
            <w:r>
              <w:rPr>
                <w:rFonts w:ascii="Times New Roman" w:hAnsi="Times New Roman" w:eastAsia="宋体" w:cs="Times New Roman"/>
                <w:color w:val="auto"/>
                <w:sz w:val="21"/>
                <w:szCs w:val="21"/>
              </w:rPr>
              <w:t>噪声及风机噪声，源强在70~85dB</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A</w:t>
            </w:r>
            <w:r>
              <w:rPr>
                <w:rFonts w:hint="eastAsia" w:ascii="Times New Roman" w:hAnsi="Times New Roman" w:eastAsia="宋体" w:cs="Times New Roman"/>
                <w:color w:val="auto"/>
                <w:sz w:val="21"/>
                <w:szCs w:val="21"/>
              </w:rPr>
              <w:t>）之间</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所有设备均布置于厂房内，并采取减振、消音及建筑物隔音等措施，夜间不工作，根据中冶检测认证有限公司</w:t>
            </w:r>
            <w:r>
              <w:rPr>
                <w:rFonts w:hint="eastAsia" w:ascii="Times New Roman" w:hAnsi="Times New Roman" w:eastAsia="宋体" w:cs="Times New Roman"/>
                <w:color w:val="auto"/>
                <w:sz w:val="21"/>
                <w:szCs w:val="21"/>
                <w:lang w:val="en-US" w:eastAsia="zh-CN"/>
              </w:rPr>
              <w:t>2022年6月</w:t>
            </w:r>
            <w:r>
              <w:rPr>
                <w:rFonts w:hint="eastAsia" w:ascii="Times New Roman" w:hAnsi="Times New Roman" w:eastAsia="宋体" w:cs="Times New Roman"/>
                <w:color w:val="auto"/>
                <w:sz w:val="21"/>
                <w:szCs w:val="21"/>
              </w:rPr>
              <w:t>出具的检测报告（报告编号：ZYJC-HJ-JC-T-2022-2122</w:t>
            </w:r>
            <w:r>
              <w:rPr>
                <w:rFonts w:hint="eastAsia" w:ascii="Times New Roman" w:hAnsi="Times New Roman" w:eastAsia="宋体" w:cs="Times New Roman"/>
                <w:color w:val="auto"/>
                <w:sz w:val="21"/>
                <w:szCs w:val="21"/>
                <w:lang w:eastAsia="zh-Hans"/>
              </w:rPr>
              <w:t>）</w:t>
            </w:r>
            <w:r>
              <w:rPr>
                <w:rFonts w:hint="eastAsia" w:ascii="Times New Roman" w:hAnsi="Times New Roman" w:eastAsia="宋体" w:cs="Times New Roman"/>
                <w:color w:val="auto"/>
                <w:sz w:val="21"/>
                <w:szCs w:val="21"/>
                <w:lang w:val="en-US" w:eastAsia="zh-CN"/>
              </w:rPr>
              <w:t>表明</w:t>
            </w:r>
            <w:r>
              <w:rPr>
                <w:rFonts w:hint="eastAsia" w:ascii="Times New Roman" w:hAnsi="Times New Roman" w:eastAsia="宋体" w:cs="Times New Roman"/>
                <w:color w:val="auto"/>
                <w:sz w:val="21"/>
                <w:szCs w:val="21"/>
              </w:rPr>
              <w:t>，厂界</w:t>
            </w:r>
            <w:r>
              <w:rPr>
                <w:rFonts w:ascii="Times New Roman" w:hAnsi="Times New Roman" w:eastAsia="宋体" w:cs="Times New Roman"/>
                <w:color w:val="auto"/>
                <w:sz w:val="21"/>
                <w:szCs w:val="21"/>
              </w:rPr>
              <w:t>能够达到《工业企业厂界环境噪声排放标准》中</w:t>
            </w:r>
            <w:r>
              <w:rPr>
                <w:rFonts w:hint="eastAsia" w:ascii="Times New Roman" w:hAnsi="Times New Roman" w:eastAsia="宋体" w:cs="Times New Roman"/>
                <w:color w:val="auto"/>
                <w:sz w:val="21"/>
                <w:szCs w:val="21"/>
              </w:rPr>
              <w:t>的</w:t>
            </w:r>
            <w:r>
              <w:rPr>
                <w:rFonts w:ascii="Times New Roman" w:hAnsi="Times New Roman" w:eastAsia="宋体" w:cs="Times New Roman"/>
                <w:color w:val="auto"/>
                <w:sz w:val="21"/>
                <w:szCs w:val="21"/>
              </w:rPr>
              <w:t>3类</w:t>
            </w:r>
            <w:r>
              <w:rPr>
                <w:rFonts w:hint="eastAsia" w:ascii="Times New Roman" w:hAnsi="Times New Roman" w:eastAsia="宋体" w:cs="Times New Roman"/>
                <w:color w:val="auto"/>
                <w:sz w:val="21"/>
                <w:szCs w:val="21"/>
              </w:rPr>
              <w:t>区</w:t>
            </w:r>
            <w:r>
              <w:rPr>
                <w:rFonts w:ascii="Times New Roman" w:hAnsi="Times New Roman" w:eastAsia="宋体" w:cs="Times New Roman"/>
                <w:color w:val="auto"/>
                <w:sz w:val="21"/>
                <w:szCs w:val="21"/>
              </w:rPr>
              <w:t>昼间标准。</w:t>
            </w:r>
          </w:p>
          <w:p>
            <w:pPr>
              <w:pStyle w:val="2"/>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ascii="Times New Roman" w:hAnsi="Times New Roman" w:eastAsia="宋体" w:cs="Times New Roman"/>
                <w:color w:val="auto"/>
                <w:sz w:val="21"/>
                <w:szCs w:val="21"/>
              </w:rPr>
            </w:pPr>
            <w:r>
              <w:rPr>
                <w:color w:val="auto"/>
              </w:rPr>
              <w:drawing>
                <wp:inline distT="0" distB="0" distL="114300" distR="114300">
                  <wp:extent cx="3439160" cy="3196590"/>
                  <wp:effectExtent l="0" t="0" r="8890" b="381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23"/>
                          <a:stretch>
                            <a:fillRect/>
                          </a:stretch>
                        </pic:blipFill>
                        <pic:spPr>
                          <a:xfrm>
                            <a:off x="0" y="0"/>
                            <a:ext cx="3439160" cy="3196590"/>
                          </a:xfrm>
                          <a:prstGeom prst="rect">
                            <a:avLst/>
                          </a:prstGeom>
                          <a:noFill/>
                          <a:ln>
                            <a:noFill/>
                          </a:ln>
                        </pic:spPr>
                      </pic:pic>
                    </a:graphicData>
                  </a:graphic>
                </wp:inline>
              </w:drawing>
            </w:r>
          </w:p>
          <w:p>
            <w:pPr>
              <w:pStyle w:val="3"/>
              <w:keepNext w:val="0"/>
              <w:keepLines w:val="0"/>
              <w:pageBreakBefore w:val="0"/>
              <w:widowControl/>
              <w:kinsoku/>
              <w:wordWrap w:val="0"/>
              <w:overflowPunct/>
              <w:topLinePunct w:val="0"/>
              <w:autoSpaceDE/>
              <w:autoSpaceDN/>
              <w:bidi w:val="0"/>
              <w:adjustRightInd/>
              <w:snapToGrid/>
              <w:spacing w:after="0" w:line="240" w:lineRule="auto"/>
              <w:jc w:val="center"/>
              <w:textAlignment w:val="auto"/>
              <w:rPr>
                <w:rFonts w:eastAsia="黑体"/>
                <w:bCs/>
                <w:color w:val="auto"/>
                <w:szCs w:val="21"/>
              </w:rPr>
            </w:pPr>
            <w:r>
              <w:rPr>
                <w:rFonts w:hint="eastAsia" w:eastAsia="黑体"/>
                <w:bCs/>
                <w:color w:val="auto"/>
                <w:szCs w:val="21"/>
                <w:lang w:eastAsia="zh-Hans"/>
              </w:rPr>
              <w:t>图</w:t>
            </w:r>
            <w:r>
              <w:rPr>
                <w:rFonts w:eastAsia="黑体"/>
                <w:bCs/>
                <w:color w:val="auto"/>
                <w:szCs w:val="21"/>
                <w:lang w:eastAsia="zh-Hans"/>
              </w:rPr>
              <w:t>3-</w:t>
            </w:r>
            <w:r>
              <w:rPr>
                <w:rFonts w:hint="eastAsia" w:eastAsia="黑体"/>
                <w:bCs/>
                <w:color w:val="auto"/>
                <w:szCs w:val="21"/>
              </w:rPr>
              <w:t>4</w:t>
            </w:r>
            <w:r>
              <w:rPr>
                <w:rFonts w:eastAsia="黑体"/>
                <w:bCs/>
                <w:color w:val="auto"/>
                <w:szCs w:val="21"/>
                <w:lang w:eastAsia="zh-Hans"/>
              </w:rPr>
              <w:t xml:space="preserve"> </w:t>
            </w:r>
            <w:r>
              <w:rPr>
                <w:rFonts w:hint="eastAsia" w:eastAsia="黑体"/>
                <w:bCs/>
                <w:color w:val="auto"/>
                <w:szCs w:val="21"/>
              </w:rPr>
              <w:t>废气和噪声监测点位图</w:t>
            </w:r>
          </w:p>
          <w:p>
            <w:pPr>
              <w:spacing w:after="0"/>
              <w:rPr>
                <w:rFonts w:ascii="Times New Roman" w:hAnsi="Times New Roman" w:eastAsia="宋体" w:cs="Times New Roman"/>
                <w:color w:val="auto"/>
                <w:sz w:val="21"/>
                <w:szCs w:val="21"/>
              </w:rPr>
            </w:pPr>
            <w:r>
              <w:rPr>
                <w:rFonts w:hint="eastAsia" w:ascii="Times New Roman" w:hAnsi="Times New Roman" w:eastAsia="黑体" w:cs="Times New Roman"/>
                <w:bCs/>
                <w:color w:val="auto"/>
                <w:sz w:val="21"/>
                <w:szCs w:val="21"/>
              </w:rPr>
              <w:t>4. 固体废物</w:t>
            </w:r>
          </w:p>
          <w:p>
            <w:pPr>
              <w:keepNext w:val="0"/>
              <w:keepLines w:val="0"/>
              <w:pageBreakBefore w:val="0"/>
              <w:widowControl/>
              <w:kinsoku/>
              <w:wordWrap/>
              <w:overflowPunct/>
              <w:topLinePunct w:val="0"/>
              <w:autoSpaceDE/>
              <w:autoSpaceDN/>
              <w:bidi w:val="0"/>
              <w:adjustRightInd w:val="0"/>
              <w:snapToGrid w:val="0"/>
              <w:spacing w:after="0" w:line="500" w:lineRule="exact"/>
              <w:ind w:firstLine="420" w:firstLineChars="200"/>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本项目产生的固废主要发动机尾气净化装置的废催化剂（主要成份为铂金、TiO</w:t>
            </w:r>
            <w:r>
              <w:rPr>
                <w:rFonts w:hint="eastAsia" w:ascii="Times New Roman" w:hAnsi="Times New Roman" w:eastAsia="宋体" w:cs="Times New Roman"/>
                <w:color w:val="auto"/>
                <w:sz w:val="21"/>
                <w:szCs w:val="21"/>
                <w:vertAlign w:val="subscript"/>
              </w:rPr>
              <w:t>2</w:t>
            </w:r>
            <w:r>
              <w:rPr>
                <w:rFonts w:hint="eastAsia" w:ascii="Times New Roman" w:hAnsi="Times New Roman" w:eastAsia="宋体" w:cs="Times New Roman"/>
                <w:color w:val="auto"/>
                <w:sz w:val="21"/>
                <w:szCs w:val="21"/>
              </w:rPr>
              <w:t>、V</w:t>
            </w:r>
            <w:r>
              <w:rPr>
                <w:rFonts w:hint="eastAsia" w:ascii="Times New Roman" w:hAnsi="Times New Roman" w:eastAsia="宋体" w:cs="Times New Roman"/>
                <w:color w:val="auto"/>
                <w:sz w:val="21"/>
                <w:szCs w:val="21"/>
                <w:vertAlign w:val="subscript"/>
              </w:rPr>
              <w:t>2</w:t>
            </w:r>
            <w:r>
              <w:rPr>
                <w:rFonts w:hint="eastAsia" w:ascii="Times New Roman" w:hAnsi="Times New Roman" w:eastAsia="宋体" w:cs="Times New Roman"/>
                <w:color w:val="auto"/>
                <w:sz w:val="21"/>
                <w:szCs w:val="21"/>
              </w:rPr>
              <w:t>O</w:t>
            </w:r>
            <w:r>
              <w:rPr>
                <w:rFonts w:hint="eastAsia" w:ascii="Times New Roman" w:hAnsi="Times New Roman" w:eastAsia="宋体" w:cs="Times New Roman"/>
                <w:color w:val="auto"/>
                <w:sz w:val="21"/>
                <w:szCs w:val="21"/>
                <w:vertAlign w:val="subscript"/>
              </w:rPr>
              <w:t>5</w:t>
            </w:r>
            <w:r>
              <w:rPr>
                <w:rFonts w:hint="eastAsia" w:ascii="Times New Roman" w:hAnsi="Times New Roman" w:eastAsia="宋体" w:cs="Times New Roman"/>
                <w:color w:val="auto"/>
                <w:sz w:val="21"/>
                <w:szCs w:val="21"/>
              </w:rPr>
              <w:t>、WO</w:t>
            </w:r>
            <w:r>
              <w:rPr>
                <w:rFonts w:hint="eastAsia" w:ascii="Times New Roman" w:hAnsi="Times New Roman" w:eastAsia="宋体" w:cs="Times New Roman"/>
                <w:color w:val="auto"/>
                <w:sz w:val="21"/>
                <w:szCs w:val="21"/>
                <w:vertAlign w:val="subscript"/>
              </w:rPr>
              <w:t>3</w:t>
            </w:r>
            <w:r>
              <w:rPr>
                <w:rFonts w:hint="eastAsia" w:ascii="Times New Roman" w:hAnsi="Times New Roman" w:eastAsia="宋体" w:cs="Times New Roman"/>
                <w:color w:val="auto"/>
                <w:sz w:val="21"/>
                <w:szCs w:val="21"/>
              </w:rPr>
              <w:t>），属于危险废物（HW50）</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该</w:t>
            </w:r>
            <w:r>
              <w:rPr>
                <w:rFonts w:hint="eastAsia" w:ascii="Times New Roman" w:hAnsi="Times New Roman" w:eastAsia="宋体" w:cs="Times New Roman"/>
                <w:color w:val="auto"/>
                <w:sz w:val="21"/>
                <w:szCs w:val="21"/>
                <w:lang w:val="en-US" w:eastAsia="zh-CN"/>
              </w:rPr>
              <w:t>工程</w:t>
            </w:r>
            <w:r>
              <w:rPr>
                <w:rFonts w:hint="eastAsia" w:ascii="Times New Roman" w:hAnsi="Times New Roman" w:eastAsia="宋体" w:cs="Times New Roman"/>
                <w:color w:val="auto"/>
                <w:sz w:val="21"/>
                <w:szCs w:val="21"/>
              </w:rPr>
              <w:t>自投产以来还未产生</w:t>
            </w:r>
            <w:r>
              <w:rPr>
                <w:rFonts w:hint="eastAsia" w:ascii="Times New Roman" w:hAnsi="Times New Roman" w:eastAsia="宋体" w:cs="Times New Roman"/>
                <w:color w:val="auto"/>
                <w:sz w:val="21"/>
                <w:szCs w:val="21"/>
                <w:lang w:val="en-US" w:eastAsia="zh-CN"/>
              </w:rPr>
              <w:t>危险废物</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预计年</w:t>
            </w:r>
            <w:r>
              <w:rPr>
                <w:rFonts w:hint="eastAsia" w:ascii="Times New Roman" w:hAnsi="Times New Roman" w:eastAsia="宋体" w:cs="Times New Roman"/>
                <w:color w:val="auto"/>
                <w:sz w:val="21"/>
                <w:szCs w:val="21"/>
              </w:rPr>
              <w:t>产生量</w:t>
            </w:r>
            <w:r>
              <w:rPr>
                <w:rFonts w:hint="eastAsia" w:ascii="Times New Roman" w:hAnsi="Times New Roman" w:eastAsia="宋体" w:cs="Times New Roman"/>
                <w:color w:val="auto"/>
                <w:sz w:val="21"/>
                <w:szCs w:val="21"/>
                <w:lang w:val="en-US" w:eastAsia="zh-CN"/>
              </w:rPr>
              <w:t>0.1</w:t>
            </w:r>
            <w:r>
              <w:rPr>
                <w:rFonts w:hint="eastAsia" w:ascii="Times New Roman" w:hAnsi="Times New Roman" w:eastAsia="宋体" w:cs="Times New Roman"/>
                <w:color w:val="auto"/>
                <w:sz w:val="21"/>
                <w:szCs w:val="21"/>
              </w:rPr>
              <w:t>t/a，依托公司现有危废暂存间贮存，定期交由北京金隅红树林环保技术有限责任公司处置。</w:t>
            </w:r>
          </w:p>
          <w:p>
            <w:pPr>
              <w:keepNext w:val="0"/>
              <w:keepLines w:val="0"/>
              <w:pageBreakBefore w:val="0"/>
              <w:widowControl/>
              <w:kinsoku/>
              <w:wordWrap/>
              <w:overflowPunct/>
              <w:topLinePunct w:val="0"/>
              <w:autoSpaceDE/>
              <w:autoSpaceDN/>
              <w:bidi w:val="0"/>
              <w:adjustRightInd w:val="0"/>
              <w:snapToGrid w:val="0"/>
              <w:spacing w:after="0" w:line="500" w:lineRule="exact"/>
              <w:ind w:firstLine="420" w:firstLineChars="200"/>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本项目职工在现有厂区内调配，不新增加福田康明斯公司总生活垃圾产生量，生活垃圾分类回收，日产日清，不能回收的送市政指定的垃圾处理站。</w:t>
            </w:r>
          </w:p>
          <w:p>
            <w:pPr>
              <w:spacing w:after="0"/>
              <w:ind w:firstLine="420" w:firstLineChars="20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drawing>
                <wp:inline distT="0" distB="0" distL="114300" distR="114300">
                  <wp:extent cx="3750945" cy="2815590"/>
                  <wp:effectExtent l="0" t="0" r="1905" b="3810"/>
                  <wp:docPr id="63" name="图片 63" descr="fbf65be61c44db9f15af861bdfbe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fbf65be61c44db9f15af861bdfbe151"/>
                          <pic:cNvPicPr>
                            <a:picLocks noChangeAspect="1"/>
                          </pic:cNvPicPr>
                        </pic:nvPicPr>
                        <pic:blipFill>
                          <a:blip r:embed="rId24"/>
                          <a:stretch>
                            <a:fillRect/>
                          </a:stretch>
                        </pic:blipFill>
                        <pic:spPr>
                          <a:xfrm>
                            <a:off x="0" y="0"/>
                            <a:ext cx="3750945" cy="2815590"/>
                          </a:xfrm>
                          <a:prstGeom prst="rect">
                            <a:avLst/>
                          </a:prstGeom>
                        </pic:spPr>
                      </pic:pic>
                    </a:graphicData>
                  </a:graphic>
                </wp:inline>
              </w:drawing>
            </w:r>
          </w:p>
          <w:p>
            <w:pPr>
              <w:pStyle w:val="3"/>
              <w:spacing w:after="0" w:line="240" w:lineRule="auto"/>
              <w:jc w:val="center"/>
              <w:rPr>
                <w:rFonts w:eastAsia="黑体"/>
                <w:bCs/>
                <w:color w:val="auto"/>
                <w:szCs w:val="21"/>
              </w:rPr>
            </w:pPr>
            <w:r>
              <w:rPr>
                <w:rFonts w:eastAsia="黑体"/>
                <w:bCs/>
                <w:color w:val="auto"/>
                <w:szCs w:val="21"/>
                <w:lang w:eastAsia="zh-Hans"/>
              </w:rPr>
              <w:t xml:space="preserve">       </w:t>
            </w:r>
            <w:r>
              <w:rPr>
                <w:rFonts w:hint="eastAsia" w:eastAsia="黑体"/>
                <w:bCs/>
                <w:color w:val="auto"/>
                <w:szCs w:val="21"/>
                <w:lang w:eastAsia="zh-Hans"/>
              </w:rPr>
              <w:t>图</w:t>
            </w:r>
            <w:r>
              <w:rPr>
                <w:rFonts w:eastAsia="黑体"/>
                <w:bCs/>
                <w:color w:val="auto"/>
                <w:szCs w:val="21"/>
                <w:lang w:eastAsia="zh-Hans"/>
              </w:rPr>
              <w:t>3-</w:t>
            </w:r>
            <w:r>
              <w:rPr>
                <w:rFonts w:hint="eastAsia" w:eastAsia="黑体"/>
                <w:bCs/>
                <w:color w:val="auto"/>
                <w:szCs w:val="21"/>
              </w:rPr>
              <w:t>5</w:t>
            </w:r>
            <w:r>
              <w:rPr>
                <w:rFonts w:eastAsia="黑体"/>
                <w:bCs/>
                <w:color w:val="auto"/>
                <w:szCs w:val="21"/>
                <w:lang w:eastAsia="zh-Hans"/>
              </w:rPr>
              <w:t xml:space="preserve"> </w:t>
            </w:r>
            <w:r>
              <w:rPr>
                <w:rFonts w:hint="eastAsia" w:eastAsia="黑体"/>
                <w:bCs/>
                <w:color w:val="auto"/>
                <w:szCs w:val="21"/>
              </w:rPr>
              <w:t>危险废物暂存间照片</w:t>
            </w:r>
          </w:p>
          <w:p>
            <w:pPr>
              <w:spacing w:after="0" w:line="400" w:lineRule="exact"/>
              <w:rPr>
                <w:rFonts w:eastAsia="仿宋_GB2312"/>
                <w:color w:val="auto"/>
                <w:sz w:val="21"/>
                <w:szCs w:val="21"/>
              </w:rPr>
            </w:pPr>
            <w:r>
              <w:rPr>
                <w:rFonts w:hint="eastAsia" w:ascii="Times New Roman" w:hAnsi="Times New Roman" w:eastAsia="黑体" w:cs="Times New Roman"/>
                <w:bCs/>
                <w:color w:val="auto"/>
                <w:sz w:val="21"/>
                <w:szCs w:val="21"/>
              </w:rPr>
              <w:t>5. 其他环保要求</w:t>
            </w:r>
          </w:p>
          <w:p>
            <w:pPr>
              <w:spacing w:after="0" w:line="440" w:lineRule="exact"/>
              <w:ind w:firstLine="420" w:firstLineChars="200"/>
              <w:rPr>
                <w:rFonts w:hint="eastAsia" w:ascii="Times New Roman" w:hAnsi="Times New Roman" w:eastAsia="宋体" w:cs="Times New Roman"/>
                <w:color w:val="auto"/>
                <w:sz w:val="21"/>
                <w:szCs w:val="21"/>
                <w:lang w:eastAsia="zh-Hans"/>
              </w:rPr>
            </w:pPr>
            <w:r>
              <w:rPr>
                <w:rFonts w:hint="eastAsia" w:ascii="Times New Roman" w:hAnsi="Times New Roman" w:eastAsia="宋体" w:cs="Times New Roman"/>
                <w:color w:val="auto"/>
                <w:sz w:val="21"/>
                <w:szCs w:val="21"/>
              </w:rPr>
              <w:t>（1）废气排气筒已设置便于采样、监测的采样口，采样口的设置符合《污染源监测技术规范》要求</w:t>
            </w:r>
            <w:r>
              <w:rPr>
                <w:rFonts w:hint="eastAsia" w:ascii="Times New Roman" w:hAnsi="Times New Roman" w:eastAsia="宋体" w:cs="Times New Roman"/>
                <w:color w:val="auto"/>
                <w:sz w:val="21"/>
                <w:szCs w:val="21"/>
                <w:lang w:eastAsia="zh-Hans"/>
              </w:rPr>
              <w:t>，本项目废气采样口及采样平台照片详见图3-</w:t>
            </w:r>
            <w:r>
              <w:rPr>
                <w:rFonts w:hint="eastAsia" w:ascii="Times New Roman" w:hAnsi="Times New Roman" w:eastAsia="宋体" w:cs="Times New Roman"/>
                <w:color w:val="auto"/>
                <w:sz w:val="21"/>
                <w:szCs w:val="21"/>
              </w:rPr>
              <w:t>6</w:t>
            </w:r>
            <w:r>
              <w:rPr>
                <w:rFonts w:hint="eastAsia" w:ascii="Times New Roman" w:hAnsi="Times New Roman" w:eastAsia="宋体" w:cs="Times New Roman"/>
                <w:color w:val="auto"/>
                <w:sz w:val="21"/>
                <w:szCs w:val="21"/>
                <w:lang w:eastAsia="zh-Hans"/>
              </w:rPr>
              <w:t>。</w:t>
            </w:r>
          </w:p>
          <w:p>
            <w:pPr>
              <w:pStyle w:val="2"/>
              <w:rPr>
                <w:rFonts w:hint="eastAsia" w:ascii="Times New Roman" w:hAnsi="Times New Roman" w:eastAsia="宋体" w:cs="Times New Roman"/>
                <w:color w:val="auto"/>
                <w:sz w:val="21"/>
                <w:szCs w:val="21"/>
                <w:lang w:eastAsia="zh-Hans"/>
              </w:rPr>
            </w:pPr>
          </w:p>
          <w:p>
            <w:pPr>
              <w:pStyle w:val="3"/>
              <w:rPr>
                <w:rFonts w:hint="eastAsia" w:ascii="Times New Roman" w:hAnsi="Times New Roman" w:eastAsia="宋体" w:cs="Times New Roman"/>
                <w:color w:val="auto"/>
                <w:sz w:val="21"/>
                <w:szCs w:val="21"/>
                <w:lang w:eastAsia="zh-Hans"/>
              </w:rPr>
            </w:pPr>
          </w:p>
          <w:p>
            <w:pPr>
              <w:rPr>
                <w:rFonts w:hint="eastAsia" w:ascii="Times New Roman" w:hAnsi="Times New Roman" w:eastAsia="宋体" w:cs="Times New Roman"/>
                <w:color w:val="auto"/>
                <w:sz w:val="21"/>
                <w:szCs w:val="21"/>
                <w:lang w:eastAsia="zh-Hans"/>
              </w:rPr>
            </w:pPr>
          </w:p>
          <w:p>
            <w:pPr>
              <w:pStyle w:val="2"/>
              <w:rPr>
                <w:rFonts w:hint="eastAsia" w:ascii="Times New Roman" w:hAnsi="Times New Roman" w:eastAsia="宋体" w:cs="Times New Roman"/>
                <w:color w:val="auto"/>
                <w:sz w:val="21"/>
                <w:szCs w:val="21"/>
                <w:lang w:eastAsia="zh-Hans"/>
              </w:rPr>
            </w:pPr>
          </w:p>
          <w:p>
            <w:pPr>
              <w:pStyle w:val="3"/>
              <w:rPr>
                <w:rFonts w:hint="eastAsia" w:ascii="Times New Roman" w:hAnsi="Times New Roman" w:eastAsia="宋体" w:cs="Times New Roman"/>
                <w:color w:val="auto"/>
                <w:sz w:val="21"/>
                <w:szCs w:val="21"/>
                <w:lang w:eastAsia="zh-Hans"/>
              </w:rPr>
            </w:pPr>
          </w:p>
          <w:p>
            <w:pPr>
              <w:rPr>
                <w:rFonts w:hint="eastAsia" w:ascii="Times New Roman" w:hAnsi="Times New Roman" w:eastAsia="宋体" w:cs="Times New Roman"/>
                <w:color w:val="auto"/>
                <w:sz w:val="21"/>
                <w:szCs w:val="21"/>
                <w:lang w:eastAsia="zh-Hans"/>
              </w:rPr>
            </w:pPr>
          </w:p>
          <w:p>
            <w:pPr>
              <w:pStyle w:val="2"/>
              <w:rPr>
                <w:rFonts w:hint="eastAsia" w:ascii="Times New Roman" w:hAnsi="Times New Roman" w:eastAsia="宋体" w:cs="Times New Roman"/>
                <w:color w:val="auto"/>
                <w:sz w:val="21"/>
                <w:szCs w:val="21"/>
                <w:lang w:eastAsia="zh-Hans"/>
              </w:rPr>
            </w:pPr>
          </w:p>
          <w:p>
            <w:pPr>
              <w:pStyle w:val="3"/>
              <w:rPr>
                <w:rFonts w:hint="eastAsia" w:ascii="Times New Roman" w:hAnsi="Times New Roman" w:eastAsia="宋体" w:cs="Times New Roman"/>
                <w:color w:val="auto"/>
                <w:sz w:val="21"/>
                <w:szCs w:val="21"/>
                <w:lang w:eastAsia="zh-Hans"/>
              </w:rPr>
            </w:pPr>
          </w:p>
          <w:p>
            <w:pPr>
              <w:rPr>
                <w:color w:val="auto"/>
                <w:lang w:eastAsia="zh-Hans"/>
              </w:rPr>
            </w:pPr>
          </w:p>
          <w:p>
            <w:pPr>
              <w:spacing w:after="0" w:line="500" w:lineRule="exact"/>
              <w:rPr>
                <w:rFonts w:ascii="Times New Roman" w:hAnsi="Times New Roman" w:eastAsia="宋体" w:cs="Times New Roman"/>
                <w:color w:val="auto"/>
                <w:sz w:val="21"/>
                <w:szCs w:val="21"/>
              </w:rPr>
            </w:pPr>
            <w:r>
              <w:rPr>
                <w:color w:val="auto"/>
              </w:rPr>
              <w:drawing>
                <wp:anchor distT="0" distB="0" distL="114300" distR="114300" simplePos="0" relativeHeight="251670528" behindDoc="0" locked="0" layoutInCell="1" allowOverlap="1">
                  <wp:simplePos x="0" y="0"/>
                  <wp:positionH relativeFrom="column">
                    <wp:posOffset>889000</wp:posOffset>
                  </wp:positionH>
                  <wp:positionV relativeFrom="paragraph">
                    <wp:posOffset>217170</wp:posOffset>
                  </wp:positionV>
                  <wp:extent cx="3978910" cy="2984500"/>
                  <wp:effectExtent l="0" t="0" r="2540" b="6350"/>
                  <wp:wrapNone/>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25"/>
                          <a:stretch>
                            <a:fillRect/>
                          </a:stretch>
                        </pic:blipFill>
                        <pic:spPr>
                          <a:xfrm>
                            <a:off x="0" y="0"/>
                            <a:ext cx="3978910" cy="2984500"/>
                          </a:xfrm>
                          <a:prstGeom prst="rect">
                            <a:avLst/>
                          </a:prstGeom>
                          <a:noFill/>
                          <a:ln w="9525">
                            <a:noFill/>
                          </a:ln>
                        </pic:spPr>
                      </pic:pic>
                    </a:graphicData>
                  </a:graphic>
                </wp:anchor>
              </w:drawing>
            </w:r>
          </w:p>
          <w:p>
            <w:pPr>
              <w:spacing w:after="0" w:line="500" w:lineRule="exact"/>
              <w:ind w:firstLine="420" w:firstLineChars="200"/>
              <w:rPr>
                <w:rFonts w:ascii="Times New Roman" w:hAnsi="Times New Roman" w:eastAsia="宋体" w:cs="Times New Roman"/>
                <w:color w:val="auto"/>
                <w:sz w:val="21"/>
                <w:szCs w:val="21"/>
              </w:rPr>
            </w:pPr>
          </w:p>
          <w:p>
            <w:pPr>
              <w:spacing w:after="0" w:line="500" w:lineRule="exact"/>
              <w:ind w:firstLine="420" w:firstLineChars="200"/>
              <w:rPr>
                <w:rFonts w:ascii="Times New Roman" w:hAnsi="Times New Roman" w:eastAsia="宋体" w:cs="Times New Roman"/>
                <w:color w:val="auto"/>
                <w:sz w:val="21"/>
                <w:szCs w:val="21"/>
              </w:rPr>
            </w:pPr>
          </w:p>
          <w:p>
            <w:pPr>
              <w:spacing w:after="0" w:line="500" w:lineRule="exact"/>
              <w:ind w:firstLine="420" w:firstLineChars="200"/>
              <w:rPr>
                <w:rFonts w:ascii="Times New Roman" w:hAnsi="Times New Roman" w:eastAsia="宋体" w:cs="Times New Roman"/>
                <w:color w:val="auto"/>
                <w:sz w:val="21"/>
                <w:szCs w:val="21"/>
              </w:rPr>
            </w:pPr>
          </w:p>
          <w:p>
            <w:pPr>
              <w:spacing w:after="0" w:line="500" w:lineRule="exact"/>
              <w:ind w:firstLine="420" w:firstLineChars="200"/>
              <w:rPr>
                <w:rFonts w:ascii="Times New Roman" w:hAnsi="Times New Roman" w:eastAsia="宋体" w:cs="Times New Roman"/>
                <w:color w:val="auto"/>
                <w:sz w:val="21"/>
                <w:szCs w:val="21"/>
              </w:rPr>
            </w:pPr>
          </w:p>
          <w:p>
            <w:pPr>
              <w:spacing w:after="0" w:line="500" w:lineRule="exact"/>
              <w:ind w:firstLine="420" w:firstLineChars="200"/>
              <w:rPr>
                <w:rFonts w:ascii="Times New Roman" w:hAnsi="Times New Roman" w:eastAsia="宋体" w:cs="Times New Roman"/>
                <w:color w:val="auto"/>
                <w:sz w:val="21"/>
                <w:szCs w:val="21"/>
              </w:rPr>
            </w:pPr>
          </w:p>
          <w:p>
            <w:pPr>
              <w:spacing w:after="0" w:line="500" w:lineRule="exact"/>
              <w:ind w:firstLine="420" w:firstLineChars="200"/>
              <w:rPr>
                <w:rFonts w:ascii="Times New Roman" w:hAnsi="Times New Roman" w:eastAsia="宋体" w:cs="Times New Roman"/>
                <w:color w:val="auto"/>
                <w:sz w:val="21"/>
                <w:szCs w:val="21"/>
              </w:rPr>
            </w:pPr>
          </w:p>
          <w:p>
            <w:pPr>
              <w:spacing w:after="0" w:line="500" w:lineRule="exact"/>
              <w:ind w:firstLine="420" w:firstLineChars="200"/>
              <w:rPr>
                <w:rFonts w:ascii="Times New Roman" w:hAnsi="Times New Roman" w:eastAsia="宋体" w:cs="Times New Roman"/>
                <w:color w:val="auto"/>
                <w:sz w:val="21"/>
                <w:szCs w:val="21"/>
              </w:rPr>
            </w:pPr>
          </w:p>
          <w:p>
            <w:pPr>
              <w:pStyle w:val="2"/>
              <w:rPr>
                <w:color w:val="auto"/>
              </w:rPr>
            </w:pPr>
          </w:p>
          <w:p>
            <w:pPr>
              <w:spacing w:before="360" w:beforeLines="150" w:after="0"/>
              <w:jc w:val="center"/>
              <w:rPr>
                <w:rFonts w:ascii="Times New Roman" w:hAnsi="Times New Roman" w:eastAsia="宋体" w:cs="Times New Roman"/>
                <w:color w:val="auto"/>
                <w:sz w:val="21"/>
                <w:szCs w:val="21"/>
              </w:rPr>
            </w:pPr>
            <w:r>
              <w:rPr>
                <w:rFonts w:ascii="Times New Roman" w:hAnsi="Times New Roman" w:eastAsia="黑体" w:cs="Times New Roman"/>
                <w:bCs/>
                <w:color w:val="auto"/>
                <w:sz w:val="21"/>
                <w:szCs w:val="21"/>
              </w:rPr>
              <w:t>图</w:t>
            </w:r>
            <w:r>
              <w:rPr>
                <w:rFonts w:hint="eastAsia" w:ascii="Times New Roman" w:hAnsi="Times New Roman" w:eastAsia="黑体" w:cs="Times New Roman"/>
                <w:bCs/>
                <w:color w:val="auto"/>
                <w:sz w:val="21"/>
                <w:szCs w:val="21"/>
              </w:rPr>
              <w:t>3-6废气</w:t>
            </w:r>
            <w:r>
              <w:rPr>
                <w:rFonts w:hint="eastAsia" w:ascii="Times New Roman" w:hAnsi="Times New Roman" w:eastAsia="黑体" w:cs="Times New Roman"/>
                <w:bCs/>
                <w:color w:val="auto"/>
                <w:sz w:val="21"/>
                <w:szCs w:val="21"/>
                <w:lang w:eastAsia="zh-Hans"/>
              </w:rPr>
              <w:t>采样平台及采样口</w:t>
            </w:r>
            <w:r>
              <w:rPr>
                <w:rFonts w:ascii="Times New Roman" w:hAnsi="Times New Roman" w:eastAsia="黑体" w:cs="Times New Roman"/>
                <w:bCs/>
                <w:color w:val="auto"/>
                <w:sz w:val="21"/>
                <w:szCs w:val="21"/>
              </w:rPr>
              <w:t>图</w:t>
            </w:r>
          </w:p>
          <w:p>
            <w:pPr>
              <w:spacing w:after="0" w:line="44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rPr>
              <w:t xml:space="preserve"> 本项目产生的危废</w:t>
            </w:r>
            <w:r>
              <w:rPr>
                <w:rFonts w:hint="eastAsia" w:ascii="Times New Roman" w:hAnsi="Times New Roman" w:eastAsia="宋体" w:cs="Times New Roman"/>
                <w:color w:val="auto"/>
                <w:sz w:val="21"/>
                <w:szCs w:val="21"/>
                <w:lang w:val="en-US" w:eastAsia="zh-CN"/>
              </w:rPr>
              <w:t>依托</w:t>
            </w:r>
            <w:r>
              <w:rPr>
                <w:rFonts w:hint="eastAsia" w:ascii="Times New Roman" w:hAnsi="Times New Roman" w:eastAsia="宋体" w:cs="Times New Roman"/>
                <w:color w:val="auto"/>
                <w:sz w:val="21"/>
                <w:szCs w:val="21"/>
              </w:rPr>
              <w:t>福田康明斯公司</w:t>
            </w:r>
            <w:r>
              <w:rPr>
                <w:rFonts w:hint="eastAsia" w:ascii="Times New Roman" w:hAnsi="Times New Roman" w:eastAsia="宋体" w:cs="Times New Roman"/>
                <w:color w:val="auto"/>
                <w:sz w:val="21"/>
                <w:szCs w:val="21"/>
                <w:lang w:val="en-US" w:eastAsia="zh-CN"/>
              </w:rPr>
              <w:t>现有</w:t>
            </w:r>
            <w:r>
              <w:rPr>
                <w:rFonts w:hint="eastAsia" w:ascii="Times New Roman" w:hAnsi="Times New Roman" w:eastAsia="宋体" w:cs="Times New Roman"/>
                <w:color w:val="auto"/>
                <w:sz w:val="21"/>
                <w:szCs w:val="21"/>
              </w:rPr>
              <w:t>危废暂存间，暂存间设有防扬散、防流失，防渗漏等防治措施；危废暂存间已按照国家标准《环境保护图形标志》（GB15562.1-1995）（GB15562.2-1995）的规定，设置了与之相适应的环境保护图形标志牌。危废暂存间同时设置了警告性环境保护图形标志牌。</w:t>
            </w:r>
          </w:p>
          <w:p>
            <w:pPr>
              <w:spacing w:after="0" w:line="600" w:lineRule="exact"/>
              <w:rPr>
                <w:rFonts w:eastAsia="仿宋_GB2312"/>
                <w:color w:val="auto"/>
                <w:sz w:val="24"/>
                <w:szCs w:val="24"/>
              </w:rPr>
            </w:pPr>
            <w:r>
              <w:rPr>
                <w:rFonts w:hint="eastAsia" w:ascii="Times New Roman" w:hAnsi="Times New Roman" w:eastAsia="黑体" w:cs="Times New Roman"/>
                <w:bCs/>
                <w:color w:val="auto"/>
                <w:sz w:val="21"/>
                <w:szCs w:val="21"/>
              </w:rPr>
              <w:t>6. 环保设施投资及“三同时”落实情况</w:t>
            </w:r>
          </w:p>
          <w:p>
            <w:pPr>
              <w:spacing w:before="48" w:beforeLines="20" w:after="0" w:line="360" w:lineRule="auto"/>
              <w:ind w:firstLine="420" w:firstLineChars="200"/>
              <w:rPr>
                <w:rFonts w:ascii="Times New Roman" w:hAnsi="Times New Roman" w:eastAsia="宋体" w:cs="Times New Roman"/>
                <w:color w:val="auto"/>
                <w:sz w:val="21"/>
                <w:szCs w:val="21"/>
              </w:rPr>
            </w:pPr>
            <w:bookmarkStart w:id="1" w:name="_Hlk514413328"/>
            <w:r>
              <w:rPr>
                <w:rFonts w:hint="eastAsia" w:ascii="Times New Roman" w:hAnsi="Times New Roman" w:eastAsia="宋体" w:cs="Times New Roman"/>
                <w:color w:val="auto"/>
                <w:sz w:val="21"/>
                <w:szCs w:val="21"/>
              </w:rPr>
              <w:t>（1）环保设施投资情况</w:t>
            </w:r>
          </w:p>
          <w:p>
            <w:pPr>
              <w:spacing w:before="48" w:beforeLines="20" w:after="0" w:line="360" w:lineRule="auto"/>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本项目实际环保投资450.72万元，占实际总投资2352.27万元</w:t>
            </w:r>
            <w:r>
              <w:rPr>
                <w:rFonts w:hint="eastAsia" w:ascii="Times New Roman" w:hAnsi="Times New Roman" w:eastAsia="宋体" w:cs="Times New Roman"/>
                <w:color w:val="auto"/>
                <w:sz w:val="21"/>
                <w:szCs w:val="21"/>
                <w:lang w:eastAsia="zh-Hans"/>
              </w:rPr>
              <w:t>的</w:t>
            </w:r>
            <w:r>
              <w:rPr>
                <w:rFonts w:hint="eastAsia" w:ascii="Times New Roman" w:hAnsi="Times New Roman" w:eastAsia="宋体" w:cs="Times New Roman"/>
                <w:color w:val="auto"/>
                <w:sz w:val="21"/>
                <w:szCs w:val="21"/>
              </w:rPr>
              <w:t>19.2%。</w:t>
            </w:r>
            <w:bookmarkEnd w:id="1"/>
          </w:p>
          <w:p>
            <w:pPr>
              <w:spacing w:after="0" w:line="500" w:lineRule="exact"/>
              <w:jc w:val="center"/>
              <w:rPr>
                <w:rFonts w:ascii="Times New Roman" w:hAnsi="Times New Roman" w:eastAsia="宋体" w:cs="Times New Roman"/>
                <w:b/>
                <w:color w:val="auto"/>
                <w:sz w:val="21"/>
                <w:szCs w:val="21"/>
              </w:rPr>
            </w:pPr>
            <w:bookmarkStart w:id="2" w:name="_Hlk534708894"/>
            <w:r>
              <w:rPr>
                <w:rFonts w:hint="eastAsia" w:ascii="Times New Roman" w:hAnsi="Times New Roman" w:eastAsia="黑体" w:cs="Times New Roman"/>
                <w:bCs/>
                <w:color w:val="auto"/>
                <w:sz w:val="21"/>
                <w:szCs w:val="21"/>
              </w:rPr>
              <w:t xml:space="preserve">表3-1 </w:t>
            </w:r>
            <w:r>
              <w:rPr>
                <w:rFonts w:hint="eastAsia" w:ascii="Times New Roman" w:hAnsi="Times New Roman" w:eastAsia="黑体" w:cs="Times New Roman"/>
                <w:bCs/>
                <w:color w:val="auto"/>
                <w:sz w:val="21"/>
                <w:szCs w:val="21"/>
                <w:lang w:eastAsia="zh-Hans"/>
              </w:rPr>
              <w:t>本</w:t>
            </w:r>
            <w:r>
              <w:rPr>
                <w:rFonts w:hint="eastAsia" w:ascii="Times New Roman" w:hAnsi="Times New Roman" w:eastAsia="黑体" w:cs="Times New Roman"/>
                <w:bCs/>
                <w:color w:val="auto"/>
                <w:sz w:val="21"/>
                <w:szCs w:val="21"/>
              </w:rPr>
              <w:t>项目实际环保投资情况</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1"/>
              <w:gridCol w:w="3795"/>
              <w:gridCol w:w="2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507"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项   目</w:t>
                  </w:r>
                </w:p>
              </w:tc>
              <w:tc>
                <w:tcPr>
                  <w:tcW w:w="2216"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环保设施</w:t>
                  </w:r>
                </w:p>
              </w:tc>
              <w:tc>
                <w:tcPr>
                  <w:tcW w:w="1276"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实际投资金额（万元）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50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废气治理措施</w:t>
                  </w:r>
                </w:p>
              </w:tc>
              <w:tc>
                <w:tcPr>
                  <w:tcW w:w="221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发动机尾气净化装置</w:t>
                  </w:r>
                </w:p>
              </w:tc>
              <w:tc>
                <w:tcPr>
                  <w:tcW w:w="127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408.96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50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噪声治理措施</w:t>
                  </w:r>
                </w:p>
              </w:tc>
              <w:tc>
                <w:tcPr>
                  <w:tcW w:w="221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eastAsia="zh-Hans"/>
                    </w:rPr>
                    <w:t>试验间隔音、减振系统等</w:t>
                  </w:r>
                </w:p>
              </w:tc>
              <w:tc>
                <w:tcPr>
                  <w:tcW w:w="127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39.76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50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固体废物治理措施</w:t>
                  </w:r>
                </w:p>
              </w:tc>
              <w:tc>
                <w:tcPr>
                  <w:tcW w:w="221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eastAsia="zh-Hans"/>
                    </w:rPr>
                    <w:t>危废</w:t>
                  </w:r>
                  <w:r>
                    <w:rPr>
                      <w:rFonts w:hint="eastAsia" w:ascii="Times New Roman" w:hAnsi="Times New Roman" w:eastAsia="宋体" w:cs="Times New Roman"/>
                      <w:bCs/>
                      <w:color w:val="auto"/>
                      <w:sz w:val="18"/>
                      <w:szCs w:val="18"/>
                    </w:rPr>
                    <w:t>处置费用</w:t>
                  </w:r>
                </w:p>
              </w:tc>
              <w:tc>
                <w:tcPr>
                  <w:tcW w:w="1276" w:type="pct"/>
                  <w:vAlign w:val="center"/>
                </w:tcPr>
                <w:p>
                  <w:pPr>
                    <w:spacing w:after="0"/>
                    <w:jc w:val="center"/>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2.00</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23" w:type="pct"/>
                  <w:gridSpan w:val="2"/>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总计</w:t>
                  </w:r>
                </w:p>
              </w:tc>
              <w:tc>
                <w:tcPr>
                  <w:tcW w:w="127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450.72</w:t>
                  </w:r>
                </w:p>
              </w:tc>
            </w:tr>
          </w:tbl>
          <w:p>
            <w:pPr>
              <w:spacing w:after="0" w:line="500" w:lineRule="exact"/>
              <w:ind w:firstLine="420" w:firstLineChars="200"/>
              <w:rPr>
                <w:rFonts w:cs="Times New Roman"/>
                <w:color w:val="auto"/>
                <w:sz w:val="21"/>
                <w:szCs w:val="21"/>
              </w:rPr>
            </w:pPr>
            <w:bookmarkStart w:id="3" w:name="_Hlk534708992"/>
            <w:r>
              <w:rPr>
                <w:rFonts w:hint="eastAsia" w:ascii="Times New Roman" w:hAnsi="Times New Roman" w:eastAsia="宋体" w:cs="Times New Roman"/>
                <w:color w:val="auto"/>
                <w:sz w:val="21"/>
                <w:szCs w:val="21"/>
              </w:rPr>
              <w:t>本项目废气处理设施设计</w:t>
            </w:r>
            <w:r>
              <w:rPr>
                <w:rFonts w:hint="eastAsia" w:ascii="Times New Roman" w:hAnsi="Times New Roman" w:eastAsia="宋体" w:cs="Times New Roman"/>
                <w:color w:val="auto"/>
                <w:sz w:val="21"/>
                <w:szCs w:val="21"/>
                <w:lang w:eastAsia="zh-Hans"/>
              </w:rPr>
              <w:t>单位为南通力达环保设备有限公司，施工单位为南通力达环保设备有限公司和</w:t>
            </w:r>
            <w:bookmarkEnd w:id="3"/>
            <w:r>
              <w:rPr>
                <w:rFonts w:hint="eastAsia" w:ascii="Times New Roman" w:hAnsi="Times New Roman" w:eastAsia="宋体" w:cs="Times New Roman"/>
                <w:color w:val="auto"/>
                <w:sz w:val="21"/>
                <w:szCs w:val="21"/>
              </w:rPr>
              <w:t>北京中兴恒远建筑工程有限公司。本项目环保设施</w:t>
            </w:r>
            <w:bookmarkStart w:id="4" w:name="_Hlk513101481"/>
            <w:r>
              <w:rPr>
                <w:rFonts w:hint="eastAsia" w:ascii="Times New Roman" w:hAnsi="Times New Roman" w:eastAsia="宋体" w:cs="Times New Roman"/>
                <w:color w:val="auto"/>
                <w:sz w:val="21"/>
                <w:szCs w:val="21"/>
              </w:rPr>
              <w:t>“三同时”落实情况</w:t>
            </w:r>
            <w:bookmarkEnd w:id="4"/>
            <w:r>
              <w:rPr>
                <w:rFonts w:hint="eastAsia" w:ascii="Times New Roman" w:hAnsi="Times New Roman" w:eastAsia="宋体" w:cs="Times New Roman"/>
                <w:color w:val="auto"/>
                <w:sz w:val="21"/>
                <w:szCs w:val="21"/>
              </w:rPr>
              <w:t>见表3-2。</w:t>
            </w:r>
            <w:r>
              <w:rPr>
                <w:rFonts w:cs="Times New Roman"/>
                <w:color w:val="auto"/>
                <w:sz w:val="21"/>
                <w:szCs w:val="21"/>
              </w:rPr>
              <w:t xml:space="preserve"> </w:t>
            </w:r>
          </w:p>
          <w:p>
            <w:pPr>
              <w:spacing w:after="0"/>
              <w:jc w:val="center"/>
              <w:rPr>
                <w:rFonts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hint="eastAsia" w:ascii="Times New Roman" w:hAnsi="Times New Roman" w:eastAsia="黑体" w:cs="Times New Roman"/>
                <w:bCs/>
                <w:color w:val="auto"/>
                <w:sz w:val="21"/>
                <w:szCs w:val="21"/>
              </w:rPr>
            </w:pPr>
          </w:p>
          <w:p>
            <w:pPr>
              <w:spacing w:after="0"/>
              <w:jc w:val="center"/>
              <w:rPr>
                <w:rFonts w:ascii="Times New Roman" w:hAnsi="Times New Roman" w:eastAsia="宋体" w:cs="Times New Roman"/>
                <w:b/>
                <w:color w:val="auto"/>
                <w:sz w:val="21"/>
                <w:szCs w:val="21"/>
              </w:rPr>
            </w:pPr>
            <w:r>
              <w:rPr>
                <w:rFonts w:hint="eastAsia" w:ascii="Times New Roman" w:hAnsi="Times New Roman" w:eastAsia="黑体" w:cs="Times New Roman"/>
                <w:bCs/>
                <w:color w:val="auto"/>
                <w:sz w:val="21"/>
                <w:szCs w:val="21"/>
              </w:rPr>
              <w:t>表3-2 项目环保设施“三同时”落实情况</w:t>
            </w:r>
          </w:p>
          <w:tbl>
            <w:tblPr>
              <w:tblStyle w:val="18"/>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0"/>
              <w:gridCol w:w="2838"/>
              <w:gridCol w:w="2123"/>
              <w:gridCol w:w="2028"/>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253"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类别</w:t>
                  </w:r>
                </w:p>
              </w:tc>
              <w:tc>
                <w:tcPr>
                  <w:tcW w:w="1675"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环评报告</w:t>
                  </w:r>
                </w:p>
              </w:tc>
              <w:tc>
                <w:tcPr>
                  <w:tcW w:w="1253"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环评批复</w:t>
                  </w:r>
                </w:p>
              </w:tc>
              <w:tc>
                <w:tcPr>
                  <w:tcW w:w="1197"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实际建设</w:t>
                  </w:r>
                </w:p>
              </w:tc>
              <w:tc>
                <w:tcPr>
                  <w:tcW w:w="623"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25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施</w:t>
                  </w:r>
                </w:p>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工</w:t>
                  </w:r>
                </w:p>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期</w:t>
                  </w:r>
                </w:p>
              </w:tc>
              <w:tc>
                <w:tcPr>
                  <w:tcW w:w="1675" w:type="pct"/>
                  <w:vAlign w:val="center"/>
                </w:tcPr>
                <w:p>
                  <w:pPr>
                    <w:spacing w:after="0"/>
                    <w:ind w:firstLine="360" w:firstLineChars="200"/>
                    <w:rPr>
                      <w:rFonts w:eastAsia="宋体" w:cs="Times New Roman"/>
                      <w:color w:val="auto"/>
                      <w:sz w:val="18"/>
                      <w:szCs w:val="18"/>
                    </w:rPr>
                  </w:pPr>
                  <w:r>
                    <w:rPr>
                      <w:rFonts w:hint="eastAsia" w:eastAsia="宋体" w:cs="Times New Roman"/>
                      <w:color w:val="auto"/>
                      <w:sz w:val="18"/>
                      <w:szCs w:val="18"/>
                    </w:rPr>
                    <w:t>依据</w:t>
                  </w:r>
                  <w:r>
                    <w:rPr>
                      <w:rFonts w:ascii="Times New Roman" w:hAnsi="Times New Roman" w:eastAsia="宋体" w:cs="Times New Roman"/>
                      <w:bCs/>
                      <w:color w:val="auto"/>
                      <w:sz w:val="18"/>
                      <w:szCs w:val="18"/>
                    </w:rPr>
                    <w:t>《北京市建设工程施工现场管理办法》</w:t>
                  </w:r>
                  <w:r>
                    <w:rPr>
                      <w:rFonts w:hint="eastAsia" w:ascii="Times New Roman" w:hAnsi="Times New Roman" w:eastAsia="宋体" w:cs="Times New Roman"/>
                      <w:bCs/>
                      <w:color w:val="auto"/>
                      <w:sz w:val="18"/>
                      <w:szCs w:val="18"/>
                    </w:rPr>
                    <w:t>，</w:t>
                  </w:r>
                  <w:r>
                    <w:rPr>
                      <w:rFonts w:hint="eastAsia" w:eastAsia="宋体" w:cs="Times New Roman"/>
                      <w:color w:val="auto"/>
                      <w:sz w:val="18"/>
                      <w:szCs w:val="18"/>
                    </w:rPr>
                    <w:t>施工单位施工前须制定工地扬尘、噪声控制方案，施工期间接受监督检查。</w:t>
                  </w:r>
                </w:p>
                <w:p>
                  <w:pPr>
                    <w:spacing w:after="0"/>
                    <w:ind w:firstLine="360" w:firstLineChars="200"/>
                    <w:rPr>
                      <w:rFonts w:eastAsia="宋体" w:cs="Times New Roman"/>
                      <w:color w:val="auto"/>
                      <w:sz w:val="18"/>
                      <w:szCs w:val="18"/>
                    </w:rPr>
                  </w:pPr>
                  <w:r>
                    <w:rPr>
                      <w:rFonts w:ascii="Times New Roman" w:hAnsi="Times New Roman" w:eastAsia="宋体" w:cs="Times New Roman"/>
                      <w:color w:val="auto"/>
                      <w:sz w:val="18"/>
                      <w:szCs w:val="18"/>
                    </w:rPr>
                    <w:t>采取有效防尘、降噪措施。施工渣土必须覆盖，</w:t>
                  </w:r>
                  <w:r>
                    <w:rPr>
                      <w:rFonts w:hint="eastAsia" w:ascii="Times New Roman" w:hAnsi="Times New Roman" w:eastAsia="宋体" w:cs="Times New Roman"/>
                      <w:color w:val="auto"/>
                      <w:sz w:val="18"/>
                      <w:szCs w:val="18"/>
                    </w:rPr>
                    <w:t>起尘材料避免露天堆放，车辆进入场地低速行驶，车辆轮胎应清洗干净后方可离开工地，</w:t>
                  </w:r>
                  <w:r>
                    <w:rPr>
                      <w:rFonts w:hint="eastAsia" w:eastAsia="宋体" w:cs="Times New Roman"/>
                      <w:color w:val="auto"/>
                      <w:sz w:val="18"/>
                      <w:szCs w:val="18"/>
                    </w:rPr>
                    <w:t>遇有</w:t>
                  </w:r>
                  <w:r>
                    <w:rPr>
                      <w:rFonts w:eastAsia="宋体" w:cs="Times New Roman"/>
                      <w:color w:val="auto"/>
                      <w:sz w:val="18"/>
                      <w:szCs w:val="18"/>
                    </w:rPr>
                    <w:t>4</w:t>
                  </w:r>
                  <w:r>
                    <w:rPr>
                      <w:rFonts w:hint="eastAsia" w:eastAsia="宋体" w:cs="Times New Roman"/>
                      <w:color w:val="auto"/>
                      <w:sz w:val="18"/>
                      <w:szCs w:val="18"/>
                    </w:rPr>
                    <w:t>级以上大风天气要停止拆除和土石方工程，禁止现场搅拌水泥砂浆；采用低噪声设备，加强机械设备维护保养，合理安排施工时间。</w:t>
                  </w:r>
                </w:p>
              </w:tc>
              <w:tc>
                <w:tcPr>
                  <w:tcW w:w="1253" w:type="pct"/>
                  <w:vAlign w:val="center"/>
                </w:tcPr>
                <w:p>
                  <w:pPr>
                    <w:spacing w:after="0"/>
                    <w:ind w:firstLine="360" w:firstLineChars="200"/>
                    <w:rPr>
                      <w:rFonts w:eastAsia="宋体" w:cs="Times New Roman"/>
                      <w:color w:val="auto"/>
                      <w:sz w:val="18"/>
                      <w:szCs w:val="18"/>
                    </w:rPr>
                  </w:pPr>
                  <w:r>
                    <w:rPr>
                      <w:rFonts w:ascii="Times New Roman" w:hAnsi="Times New Roman" w:eastAsia="宋体" w:cs="Times New Roman"/>
                      <w:bCs/>
                      <w:color w:val="auto"/>
                      <w:sz w:val="18"/>
                      <w:szCs w:val="18"/>
                    </w:rPr>
                    <w:t>施工过程严格执行《北京市建设工程施工现场管理办法》，施工厂界噪声执行《建筑施工场界环境噪声排放标准》GB12523-2011</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；认真落实《北京市空气重污染应急预案</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2018</w:t>
                  </w:r>
                  <w:r>
                    <w:rPr>
                      <w:rFonts w:hint="eastAsia" w:ascii="Times New Roman" w:hAnsi="Times New Roman" w:eastAsia="宋体" w:cs="Times New Roman"/>
                      <w:bCs/>
                      <w:color w:val="auto"/>
                      <w:sz w:val="18"/>
                      <w:szCs w:val="18"/>
                      <w:lang w:val="en-US" w:eastAsia="zh-CN"/>
                    </w:rPr>
                    <w:t>年</w:t>
                  </w:r>
                  <w:r>
                    <w:rPr>
                      <w:rFonts w:ascii="Times New Roman" w:hAnsi="Times New Roman" w:eastAsia="宋体" w:cs="Times New Roman"/>
                      <w:bCs/>
                      <w:color w:val="auto"/>
                      <w:sz w:val="18"/>
                      <w:szCs w:val="18"/>
                    </w:rPr>
                    <w:t>修订）》等相关要求</w:t>
                  </w:r>
                  <w:r>
                    <w:rPr>
                      <w:rFonts w:hint="eastAsia" w:ascii="Times New Roman" w:hAnsi="Times New Roman" w:eastAsia="宋体" w:cs="Times New Roman"/>
                      <w:bCs/>
                      <w:color w:val="auto"/>
                      <w:sz w:val="18"/>
                      <w:szCs w:val="18"/>
                    </w:rPr>
                    <w:t>。</w:t>
                  </w:r>
                </w:p>
              </w:tc>
              <w:tc>
                <w:tcPr>
                  <w:tcW w:w="1197" w:type="pct"/>
                  <w:vAlign w:val="center"/>
                </w:tcPr>
                <w:p>
                  <w:pPr>
                    <w:spacing w:line="0" w:lineRule="atLeast"/>
                    <w:ind w:firstLine="360" w:firstLineChars="200"/>
                    <w:rPr>
                      <w:color w:val="auto"/>
                      <w:sz w:val="18"/>
                      <w:szCs w:val="18"/>
                    </w:rPr>
                  </w:pPr>
                  <w:r>
                    <w:rPr>
                      <w:rFonts w:hint="eastAsia" w:eastAsia="宋体" w:cs="Times New Roman"/>
                      <w:color w:val="auto"/>
                      <w:sz w:val="18"/>
                      <w:szCs w:val="18"/>
                    </w:rPr>
                    <w:t>本项目施工期严格按照环评批复及报告表要求进行。</w:t>
                  </w:r>
                </w:p>
              </w:tc>
              <w:tc>
                <w:tcPr>
                  <w:tcW w:w="623" w:type="pct"/>
                  <w:vAlign w:val="center"/>
                </w:tcPr>
                <w:p>
                  <w:pPr>
                    <w:spacing w:after="0"/>
                    <w:jc w:val="center"/>
                    <w:rPr>
                      <w:rFonts w:eastAsia="宋体" w:cs="Times New Roman"/>
                      <w:color w:val="auto"/>
                      <w:sz w:val="18"/>
                      <w:szCs w:val="18"/>
                    </w:rPr>
                  </w:pPr>
                  <w:r>
                    <w:rPr>
                      <w:rFonts w:hint="eastAsia" w:eastAsia="宋体" w:cs="Times New Roman"/>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25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废气</w:t>
                  </w:r>
                </w:p>
              </w:tc>
              <w:tc>
                <w:tcPr>
                  <w:tcW w:w="1675"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发动机检测试验工序产生的废气经SCR脱销装置处理后</w:t>
                  </w:r>
                  <w:r>
                    <w:rPr>
                      <w:rFonts w:hint="eastAsia" w:ascii="Times New Roman" w:hAnsi="Times New Roman" w:eastAsia="宋体" w:cs="Times New Roman"/>
                      <w:bCs/>
                      <w:color w:val="auto"/>
                      <w:sz w:val="18"/>
                      <w:szCs w:val="18"/>
                    </w:rPr>
                    <w:t>通过20m高排气筒</w:t>
                  </w:r>
                  <w:r>
                    <w:rPr>
                      <w:rFonts w:ascii="Times New Roman" w:hAnsi="Times New Roman" w:eastAsia="宋体" w:cs="Times New Roman"/>
                      <w:bCs/>
                      <w:color w:val="auto"/>
                      <w:sz w:val="18"/>
                      <w:szCs w:val="18"/>
                    </w:rPr>
                    <w:t>排放</w:t>
                  </w:r>
                  <w:r>
                    <w:rPr>
                      <w:rFonts w:hint="eastAsia" w:ascii="Times New Roman" w:hAnsi="Times New Roman" w:eastAsia="宋体" w:cs="Times New Roman"/>
                      <w:bCs/>
                      <w:color w:val="auto"/>
                      <w:sz w:val="18"/>
                      <w:szCs w:val="18"/>
                    </w:rPr>
                    <w:t>，外排废气中氮氧化物、颗粒物、非甲烷总烃等污染物达到北京市</w:t>
                  </w:r>
                  <w:r>
                    <w:rPr>
                      <w:rFonts w:ascii="Times New Roman" w:hAnsi="Times New Roman" w:eastAsia="宋体" w:cs="Times New Roman"/>
                      <w:bCs/>
                      <w:color w:val="auto"/>
                      <w:sz w:val="18"/>
                      <w:szCs w:val="18"/>
                    </w:rPr>
                    <w:t>《大气污染物综合排放标准》（DB11/501-2017）</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表3生产工艺废气及其他废气大气污染物排放限值</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中</w:t>
                  </w:r>
                  <w:r>
                    <w:rPr>
                      <w:rFonts w:hint="eastAsia" w:ascii="Times New Roman" w:hAnsi="Times New Roman" w:eastAsia="宋体" w:cs="Times New Roman"/>
                      <w:bCs/>
                      <w:color w:val="auto"/>
                      <w:sz w:val="18"/>
                      <w:szCs w:val="18"/>
                    </w:rPr>
                    <w:t>Ⅱ</w:t>
                  </w:r>
                  <w:r>
                    <w:rPr>
                      <w:rFonts w:ascii="Times New Roman" w:hAnsi="Times New Roman" w:eastAsia="宋体" w:cs="Times New Roman"/>
                      <w:bCs/>
                      <w:color w:val="auto"/>
                      <w:sz w:val="18"/>
                      <w:szCs w:val="18"/>
                    </w:rPr>
                    <w:t>时段相关限值要求</w:t>
                  </w:r>
                  <w:r>
                    <w:rPr>
                      <w:rFonts w:hint="eastAsia" w:ascii="Times New Roman" w:hAnsi="Times New Roman" w:eastAsia="宋体" w:cs="Times New Roman"/>
                      <w:bCs/>
                      <w:color w:val="auto"/>
                      <w:sz w:val="18"/>
                      <w:szCs w:val="18"/>
                    </w:rPr>
                    <w:t>。</w:t>
                  </w:r>
                </w:p>
              </w:tc>
              <w:tc>
                <w:tcPr>
                  <w:tcW w:w="1253"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发动机检测试验工序产生的废气经SCR脱销装置处理后排放，氮氧化物、颗粒物、非</w:t>
                  </w:r>
                  <w:r>
                    <w:rPr>
                      <w:rFonts w:hint="eastAsia" w:ascii="Times New Roman" w:hAnsi="Times New Roman" w:eastAsia="宋体" w:cs="Times New Roman"/>
                      <w:bCs/>
                      <w:color w:val="auto"/>
                      <w:sz w:val="18"/>
                      <w:szCs w:val="18"/>
                      <w:lang w:val="en-US" w:eastAsia="zh-CN"/>
                    </w:rPr>
                    <w:t>甲烷</w:t>
                  </w:r>
                  <w:r>
                    <w:rPr>
                      <w:rFonts w:ascii="Times New Roman" w:hAnsi="Times New Roman" w:eastAsia="宋体" w:cs="Times New Roman"/>
                      <w:bCs/>
                      <w:color w:val="auto"/>
                      <w:sz w:val="18"/>
                      <w:szCs w:val="18"/>
                    </w:rPr>
                    <w:t>总烃等污染物执行《大气污染物综合排放标准》（DB11/501-2017）</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表 3 生产工艺废气及其他废气大气污染物排放限值</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中</w:t>
                  </w:r>
                  <w:r>
                    <w:rPr>
                      <w:rFonts w:hint="eastAsia" w:ascii="Times New Roman" w:hAnsi="Times New Roman" w:eastAsia="宋体" w:cs="Times New Roman"/>
                      <w:bCs/>
                      <w:color w:val="auto"/>
                      <w:sz w:val="18"/>
                      <w:szCs w:val="18"/>
                    </w:rPr>
                    <w:t>Ⅱ</w:t>
                  </w:r>
                  <w:r>
                    <w:rPr>
                      <w:rFonts w:ascii="Times New Roman" w:hAnsi="Times New Roman" w:eastAsia="宋体" w:cs="Times New Roman"/>
                      <w:bCs/>
                      <w:color w:val="auto"/>
                      <w:sz w:val="18"/>
                      <w:szCs w:val="18"/>
                    </w:rPr>
                    <w:t>时段相关限值要求</w:t>
                  </w:r>
                  <w:r>
                    <w:rPr>
                      <w:rFonts w:hint="eastAsia" w:ascii="Times New Roman" w:hAnsi="Times New Roman" w:eastAsia="宋体" w:cs="Times New Roman"/>
                      <w:bCs/>
                      <w:color w:val="auto"/>
                      <w:sz w:val="18"/>
                      <w:szCs w:val="18"/>
                    </w:rPr>
                    <w:t>。</w:t>
                  </w:r>
                </w:p>
              </w:tc>
              <w:tc>
                <w:tcPr>
                  <w:tcW w:w="1197" w:type="pct"/>
                  <w:vAlign w:val="center"/>
                </w:tcPr>
                <w:p>
                  <w:pPr>
                    <w:spacing w:after="0"/>
                    <w:ind w:firstLine="270" w:firstLineChars="150"/>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配套建设了发动机尾气净化装置（包括</w:t>
                  </w:r>
                  <w:r>
                    <w:rPr>
                      <w:rFonts w:ascii="Times New Roman" w:hAnsi="Times New Roman" w:eastAsia="宋体" w:cs="Times New Roman"/>
                      <w:bCs/>
                      <w:color w:val="auto"/>
                      <w:sz w:val="18"/>
                      <w:szCs w:val="18"/>
                    </w:rPr>
                    <w:t>DOC+POC +SCR三个模块）</w:t>
                  </w:r>
                  <w:r>
                    <w:rPr>
                      <w:rFonts w:hint="eastAsia" w:ascii="Times New Roman" w:hAnsi="Times New Roman" w:eastAsia="宋体" w:cs="Times New Roman"/>
                      <w:bCs/>
                      <w:color w:val="auto"/>
                      <w:sz w:val="18"/>
                      <w:szCs w:val="18"/>
                    </w:rPr>
                    <w:t>，发动机热试外排</w:t>
                  </w:r>
                  <w:r>
                    <w:rPr>
                      <w:rFonts w:ascii="Times New Roman" w:hAnsi="Times New Roman" w:eastAsia="宋体" w:cs="Times New Roman"/>
                      <w:bCs/>
                      <w:color w:val="auto"/>
                      <w:sz w:val="18"/>
                      <w:szCs w:val="18"/>
                    </w:rPr>
                    <w:t>废气</w:t>
                  </w:r>
                  <w:r>
                    <w:rPr>
                      <w:rFonts w:hint="eastAsia" w:ascii="Times New Roman" w:hAnsi="Times New Roman" w:eastAsia="宋体" w:cs="Times New Roman"/>
                      <w:bCs/>
                      <w:color w:val="auto"/>
                      <w:sz w:val="18"/>
                      <w:szCs w:val="18"/>
                    </w:rPr>
                    <w:t>达到北京市</w:t>
                  </w:r>
                  <w:r>
                    <w:rPr>
                      <w:rFonts w:ascii="Times New Roman" w:hAnsi="Times New Roman" w:eastAsia="宋体" w:cs="Times New Roman"/>
                      <w:bCs/>
                      <w:color w:val="auto"/>
                      <w:sz w:val="18"/>
                      <w:szCs w:val="18"/>
                    </w:rPr>
                    <w:t>《大气污染物综合排放标准》（DB11/501-2017）</w:t>
                  </w:r>
                  <w:r>
                    <w:rPr>
                      <w:rFonts w:hint="eastAsia" w:ascii="Times New Roman" w:hAnsi="Times New Roman" w:eastAsia="宋体" w:cs="Times New Roman"/>
                      <w:bCs/>
                      <w:color w:val="auto"/>
                      <w:sz w:val="18"/>
                      <w:szCs w:val="18"/>
                    </w:rPr>
                    <w:t>中“</w:t>
                  </w:r>
                  <w:r>
                    <w:rPr>
                      <w:rFonts w:ascii="Times New Roman" w:hAnsi="Times New Roman" w:eastAsia="宋体" w:cs="Times New Roman"/>
                      <w:bCs/>
                      <w:color w:val="auto"/>
                      <w:sz w:val="18"/>
                      <w:szCs w:val="18"/>
                    </w:rPr>
                    <w:t>表 3 生产工艺废气及其他废气大气污染物排放限值</w:t>
                  </w:r>
                  <w:r>
                    <w:rPr>
                      <w:rFonts w:hint="eastAsia" w:ascii="Times New Roman" w:hAnsi="Times New Roman" w:eastAsia="宋体" w:cs="Times New Roman"/>
                      <w:bCs/>
                      <w:color w:val="auto"/>
                      <w:sz w:val="18"/>
                      <w:szCs w:val="18"/>
                    </w:rPr>
                    <w:t>”</w:t>
                  </w:r>
                  <w:r>
                    <w:rPr>
                      <w:rFonts w:ascii="Times New Roman" w:hAnsi="Times New Roman" w:eastAsia="宋体" w:cs="Times New Roman"/>
                      <w:bCs/>
                      <w:color w:val="auto"/>
                      <w:sz w:val="18"/>
                      <w:szCs w:val="18"/>
                    </w:rPr>
                    <w:t>中</w:t>
                  </w:r>
                  <w:r>
                    <w:rPr>
                      <w:rFonts w:hint="eastAsia" w:ascii="Times New Roman" w:hAnsi="Times New Roman" w:eastAsia="宋体" w:cs="Times New Roman"/>
                      <w:bCs/>
                      <w:color w:val="auto"/>
                      <w:sz w:val="18"/>
                      <w:szCs w:val="18"/>
                    </w:rPr>
                    <w:t>Ⅱ</w:t>
                  </w:r>
                  <w:r>
                    <w:rPr>
                      <w:rFonts w:ascii="Times New Roman" w:hAnsi="Times New Roman" w:eastAsia="宋体" w:cs="Times New Roman"/>
                      <w:bCs/>
                      <w:color w:val="auto"/>
                      <w:sz w:val="18"/>
                      <w:szCs w:val="18"/>
                    </w:rPr>
                    <w:t>时段相关限值要求</w:t>
                  </w:r>
                  <w:r>
                    <w:rPr>
                      <w:rFonts w:hint="eastAsia" w:ascii="Times New Roman" w:hAnsi="Times New Roman" w:eastAsia="宋体" w:cs="Times New Roman"/>
                      <w:bCs/>
                      <w:color w:val="auto"/>
                      <w:sz w:val="18"/>
                      <w:szCs w:val="18"/>
                    </w:rPr>
                    <w:t>。</w:t>
                  </w:r>
                </w:p>
              </w:tc>
              <w:tc>
                <w:tcPr>
                  <w:tcW w:w="623" w:type="pct"/>
                  <w:vAlign w:val="center"/>
                </w:tcPr>
                <w:p>
                  <w:pPr>
                    <w:spacing w:after="0"/>
                    <w:rPr>
                      <w:rFonts w:ascii="Times New Roman" w:hAnsi="Times New Roman" w:eastAsia="宋体" w:cs="Times New Roman"/>
                      <w:bCs/>
                      <w:color w:val="auto"/>
                      <w:sz w:val="18"/>
                      <w:szCs w:val="18"/>
                    </w:rPr>
                  </w:pPr>
                  <w:r>
                    <w:rPr>
                      <w:rFonts w:hint="eastAsia" w:eastAsia="宋体" w:cs="Times New Roman"/>
                      <w:color w:val="auto"/>
                      <w:sz w:val="18"/>
                      <w:szCs w:val="18"/>
                    </w:rPr>
                    <w:t>已落实,新增</w:t>
                  </w:r>
                  <w:r>
                    <w:rPr>
                      <w:rFonts w:ascii="Times New Roman" w:hAnsi="Times New Roman" w:eastAsia="宋体" w:cs="Times New Roman"/>
                      <w:bCs/>
                      <w:color w:val="auto"/>
                      <w:sz w:val="18"/>
                      <w:szCs w:val="18"/>
                    </w:rPr>
                    <w:t>DOC</w:t>
                  </w:r>
                  <w:r>
                    <w:rPr>
                      <w:rFonts w:hint="eastAsia" w:ascii="Times New Roman" w:hAnsi="Times New Roman" w:eastAsia="宋体" w:cs="Times New Roman"/>
                      <w:bCs/>
                      <w:color w:val="auto"/>
                      <w:sz w:val="18"/>
                      <w:szCs w:val="18"/>
                    </w:rPr>
                    <w:t>处理产生的挥发性有机物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25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噪声</w:t>
                  </w:r>
                </w:p>
              </w:tc>
              <w:tc>
                <w:tcPr>
                  <w:tcW w:w="1675"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对机加工设备采取设置减振基础，对热试设备增加减振弹簧和垫圈，改良减振基础；在各风机出口设置消声器；循环风机及循环气体管道处等均采取隔声措施</w:t>
                  </w:r>
                  <w:r>
                    <w:rPr>
                      <w:rFonts w:hint="eastAsia" w:ascii="Times New Roman" w:hAnsi="Times New Roman" w:eastAsia="宋体" w:cs="Times New Roman"/>
                      <w:bCs/>
                      <w:color w:val="auto"/>
                      <w:sz w:val="18"/>
                      <w:szCs w:val="18"/>
                    </w:rPr>
                    <w:t>，厂界</w:t>
                  </w:r>
                  <w:r>
                    <w:rPr>
                      <w:rFonts w:ascii="Times New Roman" w:hAnsi="Times New Roman" w:eastAsia="宋体" w:cs="Times New Roman"/>
                      <w:bCs/>
                      <w:color w:val="auto"/>
                      <w:sz w:val="18"/>
                      <w:szCs w:val="18"/>
                    </w:rPr>
                    <w:t>满足《工业企业厂界环境噪声排放标准》（GB12348-2008）3类标准限值要求</w:t>
                  </w:r>
                  <w:r>
                    <w:rPr>
                      <w:rFonts w:hint="eastAsia" w:ascii="Times New Roman" w:hAnsi="Times New Roman" w:eastAsia="宋体" w:cs="Times New Roman"/>
                      <w:bCs/>
                      <w:color w:val="auto"/>
                      <w:sz w:val="18"/>
                      <w:szCs w:val="18"/>
                    </w:rPr>
                    <w:t>。</w:t>
                  </w:r>
                </w:p>
              </w:tc>
              <w:tc>
                <w:tcPr>
                  <w:tcW w:w="1253"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对</w:t>
                  </w:r>
                  <w:r>
                    <w:rPr>
                      <w:rFonts w:hint="eastAsia" w:ascii="Times New Roman" w:hAnsi="Times New Roman" w:eastAsia="宋体" w:cs="Times New Roman"/>
                      <w:bCs/>
                      <w:color w:val="auto"/>
                      <w:sz w:val="18"/>
                      <w:szCs w:val="18"/>
                    </w:rPr>
                    <w:t>机加设备、</w:t>
                  </w:r>
                  <w:r>
                    <w:rPr>
                      <w:rFonts w:ascii="Times New Roman" w:hAnsi="Times New Roman" w:eastAsia="宋体" w:cs="Times New Roman"/>
                      <w:bCs/>
                      <w:color w:val="auto"/>
                      <w:sz w:val="18"/>
                      <w:szCs w:val="18"/>
                    </w:rPr>
                    <w:t>发动机热试等噪声源采取隔声减振等措施，厂界噪声排放执行《工业企业厂界环境噪声排放标准》（GB12348-2008）中的3类标准限值</w:t>
                  </w:r>
                  <w:r>
                    <w:rPr>
                      <w:rFonts w:hint="eastAsia" w:ascii="Times New Roman" w:hAnsi="Times New Roman" w:eastAsia="宋体" w:cs="Times New Roman"/>
                      <w:bCs/>
                      <w:color w:val="auto"/>
                      <w:sz w:val="18"/>
                      <w:szCs w:val="18"/>
                    </w:rPr>
                    <w:t>。</w:t>
                  </w:r>
                </w:p>
              </w:tc>
              <w:tc>
                <w:tcPr>
                  <w:tcW w:w="1197" w:type="pct"/>
                  <w:vAlign w:val="center"/>
                </w:tcPr>
                <w:p>
                  <w:pPr>
                    <w:spacing w:after="0"/>
                    <w:ind w:firstLine="360" w:firstLineChars="200"/>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对本项目涉及的发动机热试等噪声设备采取了减振、隔音、消音等措施，厂界噪声达到</w:t>
                  </w:r>
                  <w:r>
                    <w:rPr>
                      <w:rFonts w:ascii="Times New Roman" w:hAnsi="Times New Roman" w:eastAsia="宋体" w:cs="Times New Roman"/>
                      <w:bCs/>
                      <w:color w:val="auto"/>
                      <w:sz w:val="18"/>
                      <w:szCs w:val="18"/>
                    </w:rPr>
                    <w:t>《工业企业厂界环境噪声排放标准》（GB12348-2008）的3类昼间噪声限值要求</w:t>
                  </w:r>
                  <w:r>
                    <w:rPr>
                      <w:rFonts w:hint="eastAsia" w:ascii="Times New Roman" w:hAnsi="Times New Roman" w:eastAsia="宋体" w:cs="Times New Roman"/>
                      <w:bCs/>
                      <w:color w:val="auto"/>
                      <w:sz w:val="18"/>
                      <w:szCs w:val="18"/>
                    </w:rPr>
                    <w:t>。</w:t>
                  </w:r>
                </w:p>
              </w:tc>
              <w:tc>
                <w:tcPr>
                  <w:tcW w:w="623" w:type="pct"/>
                  <w:vAlign w:val="center"/>
                </w:tcPr>
                <w:p>
                  <w:pPr>
                    <w:spacing w:after="0"/>
                    <w:jc w:val="center"/>
                    <w:rPr>
                      <w:rFonts w:ascii="Times New Roman" w:hAnsi="Times New Roman" w:eastAsia="宋体" w:cs="Times New Roman"/>
                      <w:bCs/>
                      <w:color w:val="auto"/>
                      <w:sz w:val="18"/>
                      <w:szCs w:val="18"/>
                    </w:rPr>
                  </w:pPr>
                  <w:r>
                    <w:rPr>
                      <w:rFonts w:hint="eastAsia" w:eastAsia="宋体" w:cs="Times New Roman"/>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25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固废</w:t>
                  </w:r>
                </w:p>
              </w:tc>
              <w:tc>
                <w:tcPr>
                  <w:tcW w:w="1675"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本项目</w:t>
                  </w:r>
                  <w:r>
                    <w:rPr>
                      <w:rFonts w:hint="eastAsia" w:ascii="Times New Roman" w:hAnsi="Times New Roman" w:eastAsia="宋体" w:cs="Times New Roman"/>
                      <w:bCs/>
                      <w:color w:val="auto"/>
                      <w:sz w:val="18"/>
                      <w:szCs w:val="18"/>
                    </w:rPr>
                    <w:t>固废主要来自危废、一般工业固体废物和生活垃圾，危废主要为</w:t>
                  </w:r>
                  <w:r>
                    <w:rPr>
                      <w:rFonts w:ascii="Times New Roman" w:hAnsi="Times New Roman" w:eastAsia="宋体" w:cs="Times New Roman"/>
                      <w:bCs/>
                      <w:color w:val="auto"/>
                      <w:sz w:val="18"/>
                      <w:szCs w:val="18"/>
                    </w:rPr>
                    <w:t>废切削液、废机油、废催化剂、废清洗剂、废活性炭、污水处理系统浓缩液、冷冻液、污泥等</w:t>
                  </w:r>
                  <w:r>
                    <w:rPr>
                      <w:rFonts w:hint="eastAsia" w:ascii="Times New Roman" w:hAnsi="Times New Roman" w:eastAsia="宋体" w:cs="Times New Roman"/>
                      <w:bCs/>
                      <w:color w:val="auto"/>
                      <w:sz w:val="18"/>
                      <w:szCs w:val="18"/>
                    </w:rPr>
                    <w:t>，一般工业</w:t>
                  </w:r>
                  <w:r>
                    <w:rPr>
                      <w:rFonts w:ascii="Times New Roman" w:hAnsi="Times New Roman" w:eastAsia="宋体" w:cs="Times New Roman"/>
                      <w:bCs/>
                      <w:color w:val="auto"/>
                      <w:sz w:val="18"/>
                      <w:szCs w:val="18"/>
                    </w:rPr>
                    <w:t>固体废弃物主要</w:t>
                  </w:r>
                  <w:r>
                    <w:rPr>
                      <w:rFonts w:hint="eastAsia" w:ascii="Times New Roman" w:hAnsi="Times New Roman" w:eastAsia="宋体" w:cs="Times New Roman"/>
                      <w:bCs/>
                      <w:color w:val="auto"/>
                      <w:sz w:val="18"/>
                      <w:szCs w:val="18"/>
                    </w:rPr>
                    <w:t>为废金属屑、漆渣、含水性漆的纸盒等。</w:t>
                  </w:r>
                </w:p>
                <w:p>
                  <w:pPr>
                    <w:spacing w:after="0"/>
                    <w:ind w:firstLine="360" w:firstLineChars="200"/>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危废暂存于危废储存间，定期交由</w:t>
                  </w:r>
                  <w:r>
                    <w:rPr>
                      <w:rFonts w:ascii="Times New Roman" w:hAnsi="Times New Roman" w:eastAsia="宋体" w:cs="Times New Roman"/>
                      <w:bCs/>
                      <w:color w:val="auto"/>
                      <w:sz w:val="18"/>
                      <w:szCs w:val="18"/>
                    </w:rPr>
                    <w:t>北京市金隅红树林环保技术有限责任公司进行收集处</w:t>
                  </w:r>
                  <w:r>
                    <w:rPr>
                      <w:rFonts w:hint="eastAsia" w:ascii="Times New Roman" w:hAnsi="Times New Roman" w:eastAsia="宋体" w:cs="Times New Roman"/>
                      <w:bCs/>
                      <w:color w:val="auto"/>
                      <w:sz w:val="18"/>
                      <w:szCs w:val="18"/>
                    </w:rPr>
                    <w:t>置；一般工业固体废物委托物资回收公司回收；生活垃圾中不能回收的由环卫人员清运，日产日清</w:t>
                  </w:r>
                  <w:r>
                    <w:rPr>
                      <w:rFonts w:ascii="Times New Roman" w:hAnsi="Times New Roman" w:eastAsia="宋体" w:cs="Times New Roman"/>
                      <w:bCs/>
                      <w:color w:val="auto"/>
                      <w:sz w:val="18"/>
                      <w:szCs w:val="18"/>
                    </w:rPr>
                    <w:t>。</w:t>
                  </w:r>
                </w:p>
              </w:tc>
              <w:tc>
                <w:tcPr>
                  <w:tcW w:w="1253"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固体废物收集、处置须执行《中华人民共和国固体废物污染环境防治法》中相关规定。其中，拟建项目产生的废切削液、废机油、废催化剂、废清洗剂、废活性炭、污水处理系统浓缩液、冷冻液、污泥等所有危险废物须按规范收集、贮存并交有资质单位处置，执行北京市危险废物转移联单制度。</w:t>
                  </w:r>
                </w:p>
              </w:tc>
              <w:tc>
                <w:tcPr>
                  <w:tcW w:w="1197" w:type="pct"/>
                  <w:vAlign w:val="center"/>
                </w:tcPr>
                <w:p>
                  <w:pPr>
                    <w:spacing w:after="0"/>
                    <w:ind w:firstLine="36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本项目涉及的废催化剂交由北京金隅红树林环保技术有限责任公司处置，并严格执行了</w:t>
                  </w:r>
                  <w:r>
                    <w:rPr>
                      <w:rFonts w:ascii="Times New Roman" w:hAnsi="Times New Roman" w:eastAsia="宋体" w:cs="Times New Roman"/>
                      <w:bCs/>
                      <w:color w:val="auto"/>
                      <w:sz w:val="18"/>
                      <w:szCs w:val="18"/>
                    </w:rPr>
                    <w:t>北京市危险废物转移联单制度</w:t>
                  </w:r>
                  <w:r>
                    <w:rPr>
                      <w:rFonts w:hint="eastAsia" w:ascii="Times New Roman" w:hAnsi="Times New Roman" w:eastAsia="宋体" w:cs="Times New Roman"/>
                      <w:bCs/>
                      <w:color w:val="auto"/>
                      <w:sz w:val="18"/>
                      <w:szCs w:val="18"/>
                    </w:rPr>
                    <w:t>。</w:t>
                  </w:r>
                </w:p>
                <w:p>
                  <w:pPr>
                    <w:spacing w:after="0"/>
                    <w:ind w:firstLine="360" w:firstLineChars="200"/>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本项目不新增生活垃圾。</w:t>
                  </w:r>
                </w:p>
              </w:tc>
              <w:tc>
                <w:tcPr>
                  <w:tcW w:w="623" w:type="pct"/>
                  <w:vAlign w:val="center"/>
                </w:tcPr>
                <w:p>
                  <w:pPr>
                    <w:spacing w:after="0"/>
                    <w:jc w:val="center"/>
                    <w:rPr>
                      <w:rFonts w:ascii="Times New Roman" w:hAnsi="Times New Roman" w:eastAsia="宋体" w:cs="Times New Roman"/>
                      <w:bCs/>
                      <w:color w:val="auto"/>
                      <w:sz w:val="18"/>
                      <w:szCs w:val="18"/>
                    </w:rPr>
                  </w:pPr>
                  <w:r>
                    <w:rPr>
                      <w:rFonts w:hint="eastAsia" w:eastAsia="宋体" w:cs="Times New Roman"/>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0" w:hRule="atLeast"/>
                <w:jc w:val="center"/>
              </w:trPr>
              <w:tc>
                <w:tcPr>
                  <w:tcW w:w="25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总量控制</w:t>
                  </w:r>
                </w:p>
              </w:tc>
              <w:tc>
                <w:tcPr>
                  <w:tcW w:w="1675"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按照测算，拟建项目实施后，全厂排入大气的挥发性有机物不高于6143千克/年、氮氧化物 6008千克/年、二氧化硫197千克/年、颗粒物4189千克/年</w:t>
                  </w:r>
                </w:p>
              </w:tc>
              <w:tc>
                <w:tcPr>
                  <w:tcW w:w="1253"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按照测算，拟建项目实施后，全厂排入大气的挥发性有机物不高于6143千克/年、氮氧化物 6008千克/年、二氧化硫197千克/年、颗粒物4189千克/年。</w:t>
                  </w:r>
                </w:p>
              </w:tc>
              <w:tc>
                <w:tcPr>
                  <w:tcW w:w="1197" w:type="pct"/>
                  <w:vAlign w:val="center"/>
                </w:tcPr>
                <w:p>
                  <w:pPr>
                    <w:spacing w:after="0"/>
                    <w:ind w:firstLine="360" w:firstLineChars="200"/>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本项目涉及的挥发性有机物、氮氧化物、颗粒物已包含在已批复总量中，待整体项目验收时一并核算污染物排放总量。</w:t>
                  </w:r>
                </w:p>
                <w:p>
                  <w:pPr>
                    <w:spacing w:after="0"/>
                    <w:ind w:firstLine="360" w:firstLineChars="200"/>
                    <w:rPr>
                      <w:rFonts w:ascii="Times New Roman" w:hAnsi="Times New Roman" w:eastAsia="宋体" w:cs="Times New Roman"/>
                      <w:bCs/>
                      <w:color w:val="auto"/>
                      <w:sz w:val="18"/>
                      <w:szCs w:val="18"/>
                    </w:rPr>
                  </w:pPr>
                </w:p>
              </w:tc>
              <w:tc>
                <w:tcPr>
                  <w:tcW w:w="623" w:type="pct"/>
                  <w:vAlign w:val="center"/>
                </w:tcPr>
                <w:p>
                  <w:pPr>
                    <w:spacing w:after="0"/>
                    <w:jc w:val="center"/>
                    <w:rPr>
                      <w:rFonts w:eastAsia="宋体" w:cs="Times New Roman"/>
                      <w:color w:val="auto"/>
                      <w:sz w:val="18"/>
                      <w:szCs w:val="18"/>
                    </w:rPr>
                  </w:pPr>
                  <w:r>
                    <w:rPr>
                      <w:rFonts w:hint="eastAsia" w:eastAsia="宋体" w:cs="Times New Roman"/>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25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环保验收要求</w:t>
                  </w:r>
                </w:p>
              </w:tc>
              <w:tc>
                <w:tcPr>
                  <w:tcW w:w="167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w:t>
                  </w:r>
                </w:p>
              </w:tc>
              <w:tc>
                <w:tcPr>
                  <w:tcW w:w="1253" w:type="pct"/>
                  <w:vAlign w:val="center"/>
                </w:tcPr>
                <w:p>
                  <w:pPr>
                    <w:spacing w:after="0"/>
                    <w:ind w:firstLine="360" w:firstLineChars="200"/>
                    <w:rPr>
                      <w:rFonts w:ascii="Times New Roman" w:hAnsi="Times New Roman" w:eastAsia="宋体" w:cs="Times New Roman"/>
                      <w:bCs/>
                      <w:color w:val="auto"/>
                      <w:sz w:val="18"/>
                      <w:szCs w:val="18"/>
                    </w:rPr>
                  </w:pPr>
                  <w:r>
                    <w:rPr>
                      <w:rFonts w:ascii="Times New Roman" w:hAnsi="Times New Roman" w:eastAsia="宋体" w:cs="Times New Roman"/>
                      <w:bCs/>
                      <w:color w:val="auto"/>
                      <w:sz w:val="18"/>
                      <w:szCs w:val="18"/>
                    </w:rPr>
                    <w:t>项目竣工后须按照有关规定办理环保验收</w:t>
                  </w:r>
                  <w:r>
                    <w:rPr>
                      <w:rFonts w:hint="eastAsia" w:ascii="Times New Roman" w:hAnsi="Times New Roman" w:eastAsia="宋体" w:cs="Times New Roman"/>
                      <w:bCs/>
                      <w:color w:val="auto"/>
                      <w:sz w:val="18"/>
                      <w:szCs w:val="18"/>
                    </w:rPr>
                    <w:t>。</w:t>
                  </w:r>
                </w:p>
              </w:tc>
              <w:tc>
                <w:tcPr>
                  <w:tcW w:w="1197" w:type="pct"/>
                  <w:vAlign w:val="center"/>
                </w:tcPr>
                <w:p>
                  <w:pPr>
                    <w:spacing w:after="0"/>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已正在进行自主验收。</w:t>
                  </w:r>
                </w:p>
              </w:tc>
              <w:tc>
                <w:tcPr>
                  <w:tcW w:w="623" w:type="pct"/>
                  <w:vAlign w:val="center"/>
                </w:tcPr>
                <w:p>
                  <w:pPr>
                    <w:spacing w:after="0"/>
                    <w:jc w:val="center"/>
                    <w:rPr>
                      <w:rFonts w:eastAsia="宋体" w:cs="Times New Roman"/>
                      <w:color w:val="auto"/>
                      <w:sz w:val="18"/>
                      <w:szCs w:val="18"/>
                    </w:rPr>
                  </w:pPr>
                  <w:r>
                    <w:rPr>
                      <w:rFonts w:hint="eastAsia" w:eastAsia="宋体" w:cs="Times New Roman"/>
                      <w:color w:val="auto"/>
                      <w:sz w:val="18"/>
                      <w:szCs w:val="18"/>
                    </w:rPr>
                    <w:t>正在落实</w:t>
                  </w:r>
                </w:p>
              </w:tc>
            </w:tr>
          </w:tbl>
          <w:p>
            <w:pPr>
              <w:pStyle w:val="24"/>
              <w:ind w:left="0" w:leftChars="0"/>
              <w:jc w:val="both"/>
              <w:rPr>
                <w:color w:val="auto"/>
              </w:rPr>
            </w:pPr>
          </w:p>
        </w:tc>
      </w:tr>
    </w:tbl>
    <w:p>
      <w:pPr>
        <w:spacing w:after="0" w:line="360" w:lineRule="auto"/>
        <w:outlineLvl w:val="0"/>
        <w:rPr>
          <w:rFonts w:eastAsia="仿宋_GB2312"/>
          <w:b/>
          <w:color w:val="auto"/>
          <w:sz w:val="21"/>
          <w:szCs w:val="21"/>
        </w:rPr>
      </w:pPr>
    </w:p>
    <w:p>
      <w:pPr>
        <w:spacing w:after="0" w:line="360" w:lineRule="auto"/>
        <w:outlineLvl w:val="0"/>
        <w:rPr>
          <w:rFonts w:eastAsia="仿宋_GB2312"/>
          <w:b/>
          <w:color w:val="auto"/>
          <w:sz w:val="21"/>
          <w:szCs w:val="21"/>
        </w:rPr>
      </w:pPr>
    </w:p>
    <w:p>
      <w:pPr>
        <w:spacing w:after="0" w:line="360" w:lineRule="auto"/>
        <w:outlineLvl w:val="0"/>
        <w:rPr>
          <w:rFonts w:eastAsia="仿宋_GB2312"/>
          <w:b/>
          <w:color w:val="auto"/>
          <w:sz w:val="21"/>
          <w:szCs w:val="21"/>
        </w:rPr>
      </w:pPr>
      <w:r>
        <w:rPr>
          <w:rFonts w:eastAsia="仿宋_GB2312"/>
          <w:b/>
          <w:color w:val="auto"/>
          <w:sz w:val="21"/>
          <w:szCs w:val="21"/>
        </w:rPr>
        <w:t>表</w:t>
      </w:r>
      <w:r>
        <w:rPr>
          <w:rFonts w:hint="eastAsia" w:eastAsia="仿宋_GB2312"/>
          <w:b/>
          <w:color w:val="auto"/>
          <w:sz w:val="21"/>
          <w:szCs w:val="21"/>
        </w:rPr>
        <w:t>四</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4" w:type="dxa"/>
          </w:tcPr>
          <w:p>
            <w:pPr>
              <w:spacing w:after="0"/>
              <w:outlineLvl w:val="0"/>
              <w:rPr>
                <w:rFonts w:ascii="宋体" w:hAnsi="宋体" w:eastAsia="宋体"/>
                <w:color w:val="auto"/>
                <w:sz w:val="21"/>
                <w:szCs w:val="21"/>
              </w:rPr>
            </w:pPr>
            <w:r>
              <w:rPr>
                <w:rFonts w:hint="eastAsia" w:ascii="宋体" w:hAnsi="宋体" w:eastAsia="宋体"/>
                <w:color w:val="auto"/>
                <w:sz w:val="21"/>
                <w:szCs w:val="21"/>
              </w:rPr>
              <w:t>建设项目环境影响报告表主要结论及审批部门审批决定：</w:t>
            </w:r>
          </w:p>
          <w:p>
            <w:pPr>
              <w:spacing w:after="0" w:line="560" w:lineRule="exact"/>
              <w:rPr>
                <w:rFonts w:ascii="Times New Roman" w:hAnsi="Times New Roman" w:eastAsia="黑体" w:cs="Times New Roman"/>
                <w:color w:val="auto"/>
                <w:sz w:val="21"/>
                <w:szCs w:val="21"/>
              </w:rPr>
            </w:pPr>
            <w:r>
              <w:rPr>
                <w:rFonts w:ascii="Times New Roman" w:hAnsi="Times New Roman" w:eastAsia="黑体" w:cs="Times New Roman"/>
                <w:color w:val="auto"/>
                <w:sz w:val="21"/>
                <w:szCs w:val="21"/>
              </w:rPr>
              <w:t>1.环评报告表主要结论</w:t>
            </w:r>
          </w:p>
          <w:p>
            <w:pPr>
              <w:spacing w:after="0" w:line="540" w:lineRule="exact"/>
              <w:ind w:firstLine="420" w:firstLineChars="200"/>
              <w:rPr>
                <w:rFonts w:ascii="Times New Roman" w:hAnsi="Times New Roman" w:eastAsia="宋体" w:cs="Times New Roman"/>
                <w:color w:val="auto"/>
                <w:sz w:val="21"/>
                <w:szCs w:val="21"/>
                <w:lang w:eastAsia="zh-Hans"/>
              </w:rPr>
            </w:pPr>
            <w:r>
              <w:rPr>
                <w:rFonts w:hint="eastAsia" w:ascii="Times New Roman" w:hAnsi="Times New Roman" w:eastAsia="宋体" w:cs="Times New Roman"/>
                <w:color w:val="auto"/>
                <w:sz w:val="21"/>
                <w:szCs w:val="21"/>
                <w:lang w:eastAsia="zh-Hans"/>
              </w:rPr>
              <w:t>本次验收的内容在环评报告表中的主要结论：</w:t>
            </w:r>
          </w:p>
          <w:p>
            <w:pPr>
              <w:spacing w:after="0" w:line="54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（1）废气</w:t>
            </w:r>
          </w:p>
          <w:p>
            <w:pPr>
              <w:spacing w:after="0" w:line="54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本项目发动机热试外排废气污染物主要为挥发性有机物、氮氧化物、颗粒物，经SCR烟气处理系统处理后通过20m高度的排气筒排放，能够达到北京市</w:t>
            </w:r>
            <w:r>
              <w:rPr>
                <w:rFonts w:ascii="Times New Roman" w:hAnsi="Times New Roman" w:eastAsia="宋体" w:cs="Times New Roman"/>
                <w:color w:val="auto"/>
                <w:sz w:val="21"/>
                <w:szCs w:val="21"/>
              </w:rPr>
              <w:t>《大气污染物综合排放标准》（DB11/501-2017）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表3生产工艺废气及其他废气大气污染物排放限值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时段相关限值要求</w:t>
            </w:r>
            <w:r>
              <w:rPr>
                <w:rFonts w:hint="eastAsia" w:ascii="Times New Roman" w:hAnsi="Times New Roman" w:eastAsia="宋体" w:cs="Times New Roman"/>
                <w:color w:val="auto"/>
                <w:sz w:val="21"/>
                <w:szCs w:val="21"/>
              </w:rPr>
              <w:t>。</w:t>
            </w:r>
          </w:p>
          <w:p>
            <w:pPr>
              <w:spacing w:after="0" w:line="54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（2）噪声</w:t>
            </w:r>
          </w:p>
          <w:p>
            <w:pPr>
              <w:spacing w:after="0" w:line="54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对本项目涉及的发动机热试等噪声设备采取了减振、隔音、消音等措施，厂界噪声达到《工业企业厂界环境噪声排放标准》（GB12348-2008）的3类昼间噪声限值要求。</w:t>
            </w:r>
            <w:r>
              <w:rPr>
                <w:rFonts w:ascii="Times New Roman" w:hAnsi="Times New Roman" w:eastAsia="宋体" w:cs="Times New Roman"/>
                <w:color w:val="auto"/>
                <w:sz w:val="21"/>
                <w:szCs w:val="21"/>
                <w:lang w:eastAsia="zh-Hans"/>
              </w:rPr>
              <w:t>福田康明斯</w:t>
            </w:r>
            <w:r>
              <w:rPr>
                <w:rFonts w:ascii="Times New Roman" w:hAnsi="Times New Roman" w:eastAsia="宋体" w:cs="Times New Roman"/>
                <w:color w:val="auto"/>
                <w:sz w:val="21"/>
                <w:szCs w:val="21"/>
              </w:rPr>
              <w:t>周边50m范围内没有声环境敏感目标，因此本</w:t>
            </w:r>
            <w:r>
              <w:rPr>
                <w:rFonts w:hint="eastAsia" w:ascii="Times New Roman" w:hAnsi="Times New Roman" w:eastAsia="宋体" w:cs="Times New Roman"/>
                <w:color w:val="auto"/>
                <w:sz w:val="21"/>
                <w:szCs w:val="21"/>
              </w:rPr>
              <w:t>工程</w:t>
            </w:r>
            <w:r>
              <w:rPr>
                <w:rFonts w:ascii="Times New Roman" w:hAnsi="Times New Roman" w:eastAsia="宋体" w:cs="Times New Roman"/>
                <w:color w:val="auto"/>
                <w:sz w:val="21"/>
                <w:szCs w:val="21"/>
              </w:rPr>
              <w:t>不会对周边敏感目标产生影响。</w:t>
            </w:r>
          </w:p>
          <w:p>
            <w:pPr>
              <w:spacing w:after="0" w:line="54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（3）固体废物</w:t>
            </w:r>
          </w:p>
          <w:p>
            <w:pPr>
              <w:spacing w:after="0" w:line="54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本项目</w:t>
            </w:r>
            <w:r>
              <w:rPr>
                <w:rFonts w:hint="eastAsia" w:ascii="Times New Roman" w:hAnsi="Times New Roman" w:eastAsia="宋体" w:cs="Times New Roman"/>
                <w:color w:val="auto"/>
                <w:sz w:val="21"/>
                <w:szCs w:val="21"/>
              </w:rPr>
              <w:t>危废主要为</w:t>
            </w:r>
            <w:r>
              <w:rPr>
                <w:rFonts w:ascii="Times New Roman" w:hAnsi="Times New Roman" w:eastAsia="宋体" w:cs="Times New Roman"/>
                <w:color w:val="auto"/>
                <w:sz w:val="21"/>
                <w:szCs w:val="21"/>
              </w:rPr>
              <w:t>废催化剂</w:t>
            </w:r>
            <w:r>
              <w:rPr>
                <w:rFonts w:hint="eastAsia" w:ascii="Times New Roman" w:hAnsi="Times New Roman" w:eastAsia="宋体" w:cs="Times New Roman"/>
                <w:color w:val="auto"/>
                <w:sz w:val="21"/>
                <w:szCs w:val="21"/>
              </w:rPr>
              <w:t>，暂存于危废储存间，定期交由</w:t>
            </w:r>
            <w:r>
              <w:rPr>
                <w:rFonts w:ascii="Times New Roman" w:hAnsi="Times New Roman" w:eastAsia="宋体" w:cs="Times New Roman"/>
                <w:color w:val="auto"/>
                <w:sz w:val="21"/>
                <w:szCs w:val="21"/>
              </w:rPr>
              <w:t>北京市金隅红树林环保技术有限责任公司进行收集处</w:t>
            </w:r>
            <w:r>
              <w:rPr>
                <w:rFonts w:hint="eastAsia" w:ascii="Times New Roman" w:hAnsi="Times New Roman" w:eastAsia="宋体" w:cs="Times New Roman"/>
                <w:color w:val="auto"/>
                <w:sz w:val="21"/>
                <w:szCs w:val="21"/>
              </w:rPr>
              <w:t>置</w:t>
            </w:r>
            <w:r>
              <w:rPr>
                <w:rFonts w:hint="eastAsia" w:ascii="Times New Roman" w:hAnsi="Times New Roman" w:eastAsia="宋体" w:cs="Times New Roman"/>
                <w:color w:val="auto"/>
                <w:sz w:val="21"/>
                <w:szCs w:val="21"/>
                <w:lang w:eastAsia="zh-Hans"/>
              </w:rPr>
              <w:t>。</w:t>
            </w:r>
          </w:p>
          <w:p>
            <w:pPr>
              <w:spacing w:after="0" w:line="540" w:lineRule="exact"/>
              <w:ind w:firstLine="420" w:firstLineChars="200"/>
              <w:rPr>
                <w:rFonts w:ascii="Times New Roman" w:hAnsi="Times New Roman" w:eastAsia="宋体" w:cs="Times New Roman"/>
                <w:color w:val="auto"/>
                <w:sz w:val="21"/>
                <w:szCs w:val="21"/>
                <w:lang w:eastAsia="zh-Hans"/>
              </w:rPr>
            </w:pPr>
            <w:r>
              <w:rPr>
                <w:rFonts w:ascii="Times New Roman" w:hAnsi="Times New Roman" w:eastAsia="宋体" w:cs="Times New Roman"/>
                <w:color w:val="auto"/>
                <w:sz w:val="21"/>
                <w:szCs w:val="21"/>
                <w:lang w:eastAsia="zh-Hans"/>
              </w:rPr>
              <w:t>具体</w:t>
            </w:r>
            <w:r>
              <w:rPr>
                <w:rFonts w:ascii="Times New Roman" w:hAnsi="Times New Roman" w:eastAsia="宋体" w:cs="Times New Roman"/>
                <w:color w:val="auto"/>
                <w:sz w:val="21"/>
                <w:szCs w:val="21"/>
              </w:rPr>
              <w:t>与本项目有关的环评报告表主要结论见表4-1</w:t>
            </w:r>
            <w:r>
              <w:rPr>
                <w:rFonts w:hint="eastAsia" w:ascii="Times New Roman" w:hAnsi="Times New Roman" w:eastAsia="宋体" w:cs="Times New Roman"/>
                <w:color w:val="auto"/>
                <w:sz w:val="21"/>
                <w:szCs w:val="21"/>
                <w:lang w:eastAsia="zh-Hans"/>
              </w:rPr>
              <w:t>。</w:t>
            </w:r>
          </w:p>
          <w:p>
            <w:pPr>
              <w:spacing w:after="0" w:line="540" w:lineRule="exact"/>
              <w:jc w:val="center"/>
              <w:rPr>
                <w:rFonts w:ascii="Times New Roman" w:hAnsi="Times New Roman" w:eastAsia="黑体" w:cs="Times New Roman"/>
                <w:color w:val="auto"/>
                <w:sz w:val="21"/>
                <w:szCs w:val="21"/>
              </w:rPr>
            </w:pPr>
            <w:r>
              <w:rPr>
                <w:rFonts w:ascii="Times New Roman" w:hAnsi="Times New Roman" w:eastAsia="黑体" w:cs="Times New Roman"/>
                <w:color w:val="auto"/>
                <w:sz w:val="21"/>
                <w:szCs w:val="21"/>
              </w:rPr>
              <w:t>表4-1 与本项目有关的环评报告表主要结论</w:t>
            </w:r>
          </w:p>
          <w:tbl>
            <w:tblPr>
              <w:tblStyle w:val="18"/>
              <w:tblW w:w="8529" w:type="dxa"/>
              <w:jc w:val="center"/>
              <w:tblLayout w:type="fixed"/>
              <w:tblCellMar>
                <w:top w:w="0" w:type="dxa"/>
                <w:left w:w="108" w:type="dxa"/>
                <w:bottom w:w="0" w:type="dxa"/>
                <w:right w:w="108" w:type="dxa"/>
              </w:tblCellMar>
            </w:tblPr>
            <w:tblGrid>
              <w:gridCol w:w="1059"/>
              <w:gridCol w:w="1587"/>
              <w:gridCol w:w="2538"/>
              <w:gridCol w:w="3345"/>
            </w:tblGrid>
            <w:tr>
              <w:tblPrEx>
                <w:tblCellMar>
                  <w:top w:w="0" w:type="dxa"/>
                  <w:left w:w="108" w:type="dxa"/>
                  <w:bottom w:w="0" w:type="dxa"/>
                  <w:right w:w="108" w:type="dxa"/>
                </w:tblCellMar>
              </w:tblPrEx>
              <w:trPr>
                <w:trHeight w:val="408"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项目</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主要污染物</w:t>
                  </w:r>
                </w:p>
              </w:tc>
              <w:tc>
                <w:tcPr>
                  <w:tcW w:w="2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污染防治设施</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验收排放要求</w:t>
                  </w:r>
                </w:p>
              </w:tc>
            </w:tr>
            <w:tr>
              <w:tblPrEx>
                <w:tblCellMar>
                  <w:top w:w="0" w:type="dxa"/>
                  <w:left w:w="108" w:type="dxa"/>
                  <w:bottom w:w="0" w:type="dxa"/>
                  <w:right w:w="108" w:type="dxa"/>
                </w:tblCellMar>
              </w:tblPrEx>
              <w:trPr>
                <w:trHeight w:val="1017"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废气</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textAlignment w:val="center"/>
                    <w:rPr>
                      <w:rFonts w:ascii="宋体" w:hAnsi="宋体" w:eastAsia="宋体" w:cs="宋体"/>
                      <w:color w:val="auto"/>
                      <w:sz w:val="20"/>
                      <w:szCs w:val="20"/>
                      <w:lang w:bidi="ar"/>
                    </w:rPr>
                  </w:pPr>
                  <w:r>
                    <w:rPr>
                      <w:rFonts w:ascii="Times New Roman" w:hAnsi="Times New Roman" w:eastAsia="宋体" w:cs="Times New Roman"/>
                      <w:color w:val="auto"/>
                      <w:sz w:val="20"/>
                      <w:szCs w:val="20"/>
                      <w:lang w:bidi="ar"/>
                    </w:rPr>
                    <w:t>NO</w:t>
                  </w:r>
                  <w:r>
                    <w:rPr>
                      <w:rFonts w:ascii="Times New Roman" w:hAnsi="Times New Roman" w:eastAsia="宋体" w:cs="Times New Roman"/>
                      <w:color w:val="auto"/>
                      <w:sz w:val="20"/>
                      <w:szCs w:val="20"/>
                      <w:vertAlign w:val="subscript"/>
                      <w:lang w:bidi="ar"/>
                    </w:rPr>
                    <w:t>X</w:t>
                  </w:r>
                  <w:r>
                    <w:rPr>
                      <w:rFonts w:hint="eastAsia" w:ascii="宋体" w:hAnsi="宋体" w:eastAsia="宋体" w:cs="宋体"/>
                      <w:color w:val="auto"/>
                      <w:sz w:val="20"/>
                      <w:szCs w:val="20"/>
                      <w:lang w:bidi="ar"/>
                    </w:rPr>
                    <w:t>、颗粒物、</w:t>
                  </w:r>
                </w:p>
                <w:p>
                  <w:pPr>
                    <w:spacing w:after="0"/>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非甲烷总</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textAlignment w:val="center"/>
                    <w:rPr>
                      <w:rFonts w:ascii="Times New Roman Regular" w:hAnsi="Times New Roman Regular" w:eastAsia="宋体" w:cs="Times New Roman Regular"/>
                      <w:color w:val="auto"/>
                      <w:sz w:val="21"/>
                      <w:szCs w:val="21"/>
                    </w:rPr>
                  </w:pPr>
                  <w:r>
                    <w:rPr>
                      <w:rFonts w:ascii="Times New Roman Regular" w:hAnsi="Times New Roman Regular" w:eastAsia="宋体" w:cs="Times New Roman Regular"/>
                      <w:color w:val="auto"/>
                      <w:sz w:val="20"/>
                      <w:szCs w:val="20"/>
                      <w:lang w:bidi="ar"/>
                    </w:rPr>
                    <w:t>SCR脱销装置，处理后通过20m高度的排气筒排放</w:t>
                  </w:r>
                  <w:r>
                    <w:rPr>
                      <w:rFonts w:ascii="Times New Roman Regular" w:hAnsi="Times New Roman Regular" w:eastAsia="宋体" w:cs="Times New Roman Regular"/>
                      <w:color w:val="auto"/>
                      <w:sz w:val="20"/>
                      <w:szCs w:val="20"/>
                      <w:lang w:eastAsia="zh-Hans" w:bidi="ar"/>
                    </w:rPr>
                    <w:t>。</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北京市《大气污染物综合排放标准》（DB11/501-2017）“表3生产工艺废气及其他废气大气污染物排放限值”中Ⅱ时段相关限值要求</w:t>
                  </w:r>
                  <w:r>
                    <w:rPr>
                      <w:rFonts w:hint="eastAsia" w:ascii="宋体" w:hAnsi="宋体" w:eastAsia="宋体" w:cs="宋体"/>
                      <w:color w:val="auto"/>
                      <w:sz w:val="20"/>
                      <w:szCs w:val="20"/>
                      <w:lang w:eastAsia="zh-Hans" w:bidi="ar"/>
                    </w:rPr>
                    <w:t>。</w:t>
                  </w:r>
                </w:p>
              </w:tc>
            </w:tr>
            <w:tr>
              <w:tblPrEx>
                <w:tblCellMar>
                  <w:top w:w="0" w:type="dxa"/>
                  <w:left w:w="108" w:type="dxa"/>
                  <w:bottom w:w="0" w:type="dxa"/>
                  <w:right w:w="108" w:type="dxa"/>
                </w:tblCellMar>
              </w:tblPrEx>
              <w:trPr>
                <w:trHeight w:val="453"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噪声</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噪声</w:t>
                  </w:r>
                </w:p>
              </w:tc>
              <w:tc>
                <w:tcPr>
                  <w:tcW w:w="2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textAlignment w:val="center"/>
                    <w:rPr>
                      <w:rFonts w:ascii="Times New Roman Regular" w:hAnsi="Times New Roman Regular" w:eastAsia="宋体" w:cs="Times New Roman Regular"/>
                      <w:color w:val="auto"/>
                      <w:sz w:val="20"/>
                      <w:szCs w:val="20"/>
                    </w:rPr>
                  </w:pPr>
                  <w:r>
                    <w:rPr>
                      <w:rFonts w:ascii="Times New Roman Regular" w:hAnsi="Times New Roman Regular" w:eastAsia="宋体" w:cs="Times New Roman Regular"/>
                      <w:color w:val="auto"/>
                      <w:sz w:val="20"/>
                      <w:szCs w:val="20"/>
                      <w:lang w:bidi="ar"/>
                    </w:rPr>
                    <w:t>对热试设备增加减振弹簧和垫圈，改良减振基础</w:t>
                  </w:r>
                  <w:r>
                    <w:rPr>
                      <w:rFonts w:ascii="Times New Roman Regular" w:hAnsi="Times New Roman Regular" w:eastAsia="宋体" w:cs="Times New Roman Regular"/>
                      <w:color w:val="auto"/>
                      <w:sz w:val="20"/>
                      <w:szCs w:val="20"/>
                      <w:lang w:eastAsia="zh-Hans" w:bidi="ar"/>
                    </w:rPr>
                    <w:t>。</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《工业企业厂界环境噪声排放标准》（</w:t>
                  </w:r>
                  <w:r>
                    <w:rPr>
                      <w:rStyle w:val="44"/>
                      <w:rFonts w:eastAsia="宋体"/>
                      <w:color w:val="auto"/>
                      <w:lang w:bidi="ar"/>
                    </w:rPr>
                    <w:t>GB12348-2008</w:t>
                  </w:r>
                  <w:r>
                    <w:rPr>
                      <w:rStyle w:val="45"/>
                      <w:rFonts w:hint="default"/>
                      <w:color w:val="auto"/>
                      <w:lang w:bidi="ar"/>
                    </w:rPr>
                    <w:t>）中</w:t>
                  </w:r>
                  <w:r>
                    <w:rPr>
                      <w:rStyle w:val="44"/>
                      <w:rFonts w:eastAsia="宋体"/>
                      <w:color w:val="auto"/>
                      <w:lang w:bidi="ar"/>
                    </w:rPr>
                    <w:t>3</w:t>
                  </w:r>
                  <w:r>
                    <w:rPr>
                      <w:rStyle w:val="45"/>
                      <w:rFonts w:hint="default"/>
                      <w:color w:val="auto"/>
                      <w:lang w:bidi="ar"/>
                    </w:rPr>
                    <w:t>类标准</w:t>
                  </w:r>
                  <w:r>
                    <w:rPr>
                      <w:rStyle w:val="45"/>
                      <w:rFonts w:hint="default"/>
                      <w:color w:val="auto"/>
                      <w:lang w:eastAsia="zh-Hans" w:bidi="ar"/>
                    </w:rPr>
                    <w:t>。</w:t>
                  </w:r>
                </w:p>
              </w:tc>
            </w:tr>
            <w:tr>
              <w:tblPrEx>
                <w:tblCellMar>
                  <w:top w:w="0" w:type="dxa"/>
                  <w:left w:w="108" w:type="dxa"/>
                  <w:bottom w:w="0" w:type="dxa"/>
                  <w:right w:w="108" w:type="dxa"/>
                </w:tblCellMar>
              </w:tblPrEx>
              <w:trPr>
                <w:trHeight w:val="645"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lang w:bidi="ar"/>
                    </w:rPr>
                  </w:pPr>
                  <w:r>
                    <w:rPr>
                      <w:rFonts w:hint="eastAsia" w:ascii="宋体" w:hAnsi="宋体" w:eastAsia="宋体" w:cs="宋体"/>
                      <w:color w:val="auto"/>
                      <w:sz w:val="20"/>
                      <w:szCs w:val="20"/>
                      <w:lang w:bidi="ar"/>
                    </w:rPr>
                    <w:t>固体</w:t>
                  </w:r>
                </w:p>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废物</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废催化剂</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textAlignment w:val="center"/>
                    <w:rPr>
                      <w:rFonts w:ascii="Times New Roman Regular" w:hAnsi="Times New Roman Regular" w:eastAsia="宋体" w:cs="Times New Roman Regular"/>
                      <w:color w:val="auto"/>
                      <w:sz w:val="20"/>
                      <w:szCs w:val="20"/>
                    </w:rPr>
                  </w:pPr>
                  <w:r>
                    <w:rPr>
                      <w:rFonts w:ascii="Times New Roman Regular" w:hAnsi="Times New Roman Regular" w:eastAsia="宋体" w:cs="Times New Roman Regular"/>
                      <w:color w:val="auto"/>
                      <w:sz w:val="20"/>
                      <w:szCs w:val="20"/>
                      <w:lang w:bidi="ar"/>
                    </w:rPr>
                    <w:t>在现有的危险废物暂存间暂存</w:t>
                  </w:r>
                  <w:r>
                    <w:rPr>
                      <w:rFonts w:ascii="Times New Roman Regular" w:hAnsi="Times New Roman Regular" w:eastAsia="宋体" w:cs="Times New Roman Regular"/>
                      <w:color w:val="auto"/>
                      <w:sz w:val="20"/>
                      <w:szCs w:val="20"/>
                      <w:lang w:eastAsia="zh-Hans" w:bidi="ar"/>
                    </w:rPr>
                    <w:t>。</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textAlignment w:val="center"/>
                    <w:rPr>
                      <w:rFonts w:ascii="宋体" w:hAnsi="宋体" w:eastAsia="宋体" w:cs="宋体"/>
                      <w:color w:val="auto"/>
                      <w:sz w:val="20"/>
                      <w:szCs w:val="20"/>
                    </w:rPr>
                  </w:pPr>
                  <w:r>
                    <w:rPr>
                      <w:rFonts w:hint="eastAsia" w:ascii="宋体" w:hAnsi="宋体" w:eastAsia="宋体" w:cs="宋体"/>
                      <w:color w:val="auto"/>
                      <w:sz w:val="20"/>
                      <w:szCs w:val="20"/>
                      <w:lang w:bidi="ar"/>
                    </w:rPr>
                    <w:t>由北京市金隅红树林环保技术有限责任公司进行收集处理不外排</w:t>
                  </w:r>
                  <w:r>
                    <w:rPr>
                      <w:rFonts w:hint="eastAsia" w:ascii="宋体" w:hAnsi="宋体" w:eastAsia="宋体" w:cs="宋体"/>
                      <w:color w:val="auto"/>
                      <w:sz w:val="20"/>
                      <w:szCs w:val="20"/>
                      <w:lang w:eastAsia="zh-Hans" w:bidi="ar"/>
                    </w:rPr>
                    <w:t>。</w:t>
                  </w:r>
                </w:p>
              </w:tc>
            </w:tr>
          </w:tbl>
          <w:p>
            <w:pPr>
              <w:spacing w:after="0" w:line="470" w:lineRule="exact"/>
              <w:rPr>
                <w:rFonts w:ascii="宋体" w:hAnsi="宋体" w:eastAsia="宋体"/>
                <w:color w:val="auto"/>
                <w:sz w:val="21"/>
                <w:szCs w:val="21"/>
              </w:rPr>
            </w:pPr>
            <w:r>
              <w:rPr>
                <w:rFonts w:hint="eastAsia" w:ascii="Times New Roman" w:hAnsi="Times New Roman" w:eastAsia="黑体" w:cs="Times New Roman"/>
                <w:color w:val="auto"/>
                <w:sz w:val="21"/>
                <w:szCs w:val="21"/>
              </w:rPr>
              <w:t xml:space="preserve">2. </w:t>
            </w:r>
            <w:r>
              <w:rPr>
                <w:rFonts w:ascii="Times New Roman" w:hAnsi="Times New Roman" w:eastAsia="黑体" w:cs="Times New Roman"/>
                <w:color w:val="auto"/>
                <w:sz w:val="21"/>
                <w:szCs w:val="21"/>
              </w:rPr>
              <w:t>审批</w:t>
            </w:r>
            <w:r>
              <w:rPr>
                <w:rFonts w:hint="eastAsia" w:ascii="Times New Roman" w:hAnsi="Times New Roman" w:eastAsia="黑体" w:cs="Times New Roman"/>
                <w:color w:val="auto"/>
                <w:sz w:val="21"/>
                <w:szCs w:val="21"/>
              </w:rPr>
              <w:t>部门审批决定</w:t>
            </w:r>
          </w:p>
          <w:p>
            <w:pPr>
              <w:spacing w:after="0" w:line="470" w:lineRule="exact"/>
              <w:ind w:firstLine="420" w:firstLineChars="200"/>
              <w:rPr>
                <w:rFonts w:ascii="Times New Roman" w:hAnsi="Times New Roman" w:eastAsia="宋体" w:cs="Times New Roman"/>
                <w:color w:val="auto"/>
                <w:sz w:val="21"/>
                <w:szCs w:val="21"/>
              </w:rPr>
            </w:pPr>
            <w:r>
              <w:rPr>
                <w:rFonts w:ascii="宋体" w:hAnsi="宋体" w:eastAsia="宋体"/>
                <w:color w:val="auto"/>
                <w:sz w:val="21"/>
                <w:szCs w:val="21"/>
              </w:rPr>
              <w:t>《</w:t>
            </w:r>
            <w:r>
              <w:rPr>
                <w:rFonts w:ascii="Times New Roman" w:hAnsi="Times New Roman" w:eastAsia="宋体" w:cs="Times New Roman"/>
                <w:color w:val="auto"/>
                <w:sz w:val="21"/>
                <w:szCs w:val="21"/>
              </w:rPr>
              <w:t>关于</w:t>
            </w:r>
            <w:r>
              <w:rPr>
                <w:rFonts w:hint="eastAsia" w:ascii="Times New Roman" w:hAnsi="Times New Roman" w:eastAsia="宋体" w:cs="Times New Roman"/>
                <w:color w:val="auto"/>
                <w:sz w:val="21"/>
                <w:szCs w:val="21"/>
              </w:rPr>
              <w:t>北京福田康明斯发动机有限公司重型发动机工厂产能提升项目</w:t>
            </w:r>
            <w:r>
              <w:rPr>
                <w:rFonts w:ascii="Times New Roman" w:hAnsi="Times New Roman" w:eastAsia="宋体" w:cs="Times New Roman"/>
                <w:color w:val="auto"/>
                <w:sz w:val="21"/>
                <w:szCs w:val="21"/>
              </w:rPr>
              <w:t>环境影响报告</w:t>
            </w:r>
            <w:r>
              <w:rPr>
                <w:rFonts w:hint="eastAsia" w:ascii="Times New Roman" w:hAnsi="Times New Roman" w:eastAsia="宋体" w:cs="Times New Roman"/>
                <w:color w:val="auto"/>
                <w:sz w:val="21"/>
                <w:szCs w:val="21"/>
              </w:rPr>
              <w:t>表</w:t>
            </w:r>
            <w:r>
              <w:rPr>
                <w:rFonts w:ascii="Times New Roman" w:hAnsi="Times New Roman" w:eastAsia="宋体" w:cs="Times New Roman"/>
                <w:color w:val="auto"/>
                <w:sz w:val="21"/>
                <w:szCs w:val="21"/>
              </w:rPr>
              <w:t>的批复》（</w:t>
            </w:r>
            <w:r>
              <w:rPr>
                <w:rFonts w:hint="eastAsia" w:ascii="Times New Roman" w:hAnsi="Times New Roman" w:eastAsia="宋体" w:cs="Times New Roman"/>
                <w:color w:val="auto"/>
                <w:sz w:val="21"/>
                <w:szCs w:val="21"/>
              </w:rPr>
              <w:t>京环</w:t>
            </w:r>
            <w:r>
              <w:rPr>
                <w:rFonts w:ascii="Times New Roman" w:hAnsi="Times New Roman" w:eastAsia="宋体" w:cs="Times New Roman"/>
                <w:color w:val="auto"/>
                <w:sz w:val="21"/>
                <w:szCs w:val="21"/>
              </w:rPr>
              <w:t>审[20</w:t>
            </w:r>
            <w:r>
              <w:rPr>
                <w:rFonts w:hint="eastAsia" w:ascii="Times New Roman" w:hAnsi="Times New Roman" w:eastAsia="宋体" w:cs="Times New Roman"/>
                <w:color w:val="auto"/>
                <w:sz w:val="21"/>
                <w:szCs w:val="21"/>
              </w:rPr>
              <w:t>22</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 xml:space="preserve"> 65</w:t>
            </w:r>
            <w:r>
              <w:rPr>
                <w:rFonts w:ascii="Times New Roman" w:hAnsi="Times New Roman" w:eastAsia="宋体" w:cs="Times New Roman"/>
                <w:color w:val="auto"/>
                <w:sz w:val="21"/>
                <w:szCs w:val="21"/>
              </w:rPr>
              <w:t>号）</w:t>
            </w:r>
          </w:p>
          <w:p>
            <w:pPr>
              <w:spacing w:after="0" w:line="470" w:lineRule="exac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北京福田康明斯发动机有限公司：</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你单位报送的《北京福田康明斯发动机有限公司重型发动机工厂产能提升项目环境影响报告表》（目编号</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评审A2022-0022）及有关材料收悉。经审查，批复如下：</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一、拟建项目位于昌平区沙河镇沙阳路15-1号，拟通过新增生产设备、优化布局等方式提升产能，现状X工厂柴油发动机产能从3万台/年提升至18.16万台/年，新增天然气发动机生产能力，产能4.34万台/年；对X工厂和F工厂现有生产工艺进行技改，柴油发动机热试比例由20%下降为10%，调漆间挥发性有机物增加活性炭吸附装置，将湿式喷漆房改造为干式喷漆房、由水旋漆雾处理系统改造为纸盒+沸石转轮+RTO热氧化炉等。</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项目主要环境影响为废水、废气、噪声、固体废物等。从生态环境保护角度分析，在全面落实环境影响评价报告表和本批复提出的各项生态环境保护措施后，该项目生态环境影响能够得到减缓和控制。我局原则同意环境影响报告表的环境影响评价结论和拟采取的各项生态环境保护措施。</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二、拟建项目建设及生产运行中应重点做好以下工作。</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（一）湿式加工工序产生的废气经油雾净化装置处理后排放，油雾（以非</w:t>
            </w:r>
            <w:r>
              <w:rPr>
                <w:rFonts w:hint="eastAsia" w:ascii="Times New Roman" w:hAnsi="Times New Roman" w:eastAsia="宋体" w:cs="Times New Roman"/>
                <w:color w:val="auto"/>
                <w:sz w:val="21"/>
                <w:szCs w:val="21"/>
                <w:lang w:val="en-US" w:eastAsia="zh-CN"/>
              </w:rPr>
              <w:t>甲烷</w:t>
            </w:r>
            <w:r>
              <w:rPr>
                <w:rFonts w:ascii="Times New Roman" w:hAnsi="Times New Roman" w:eastAsia="宋体" w:cs="Times New Roman"/>
                <w:color w:val="auto"/>
                <w:sz w:val="21"/>
                <w:szCs w:val="21"/>
              </w:rPr>
              <w:t>总烃计）执行《大气污染物综合排放标准》（DB11/501-2017）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表3生产工艺废气及其他废气大气污染物排放限值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中相关限值要求；发动机检测试验工序产生的废气经SCR脱销装置处理后排放，氮氧化物、颗粒物、非</w:t>
            </w:r>
            <w:r>
              <w:rPr>
                <w:rFonts w:hint="eastAsia" w:ascii="Times New Roman" w:hAnsi="Times New Roman" w:eastAsia="宋体" w:cs="Times New Roman"/>
                <w:color w:val="auto"/>
                <w:sz w:val="21"/>
                <w:szCs w:val="21"/>
                <w:lang w:val="en-US" w:eastAsia="zh-CN"/>
              </w:rPr>
              <w:t>甲烷</w:t>
            </w:r>
            <w:r>
              <w:rPr>
                <w:rFonts w:ascii="Times New Roman" w:hAnsi="Times New Roman" w:eastAsia="宋体" w:cs="Times New Roman"/>
                <w:color w:val="auto"/>
                <w:sz w:val="21"/>
                <w:szCs w:val="21"/>
              </w:rPr>
              <w:t>总烃等污染物执行《大气污染物综合排放标准》（DB11/501-2017）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表3 生产工艺废气及其他废气大气污染物排放限值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相关限值要求；调漆间废气经活性炭处理后排放，喷漆废气经过纸盒过滤后，再通过沸石转轮+RTO热氧化炉焚烧处理后排放，烘于废气采用热力焚烧炉处理后排放，擦拭清洗废气经活性炭棉处理后排放，上述工序产生的主要污染物为颗粒物和挥发性有机物，执行《汽车整车制造业（涂装工序 ）大气污染物排放标准》（DB11/1227-2015）中</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时段排放浓度限值；烘于焚烧废气中颗粒物、氮氧化物、二氧化硫等污染物执行《大气污染物综合排放标准》（DB11/501-2017）中</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表2工业炉窑的第II时段大气污染物排放限值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相关要求。</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项目使用的涂料应满足《汽车整车制造业（涂装工序）大气污染物排放标准》（DB11/501-2017）相关限值要求。</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（二）项目产生的生产废水和生活污水经自建污水处理设施处理后回用，不外排，执行《城市污水再生利用城市杂用水水质》（ GB/T18920-2020）中绿化、冲厕用水标准要求，同时需要达到《北京市水污染物综合排放标准》（ DB11/307- 2013）中</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表1排入地表水体的水污染物排放限值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中B排放限值相关要求。</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（三）按照</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源头控制、分区防治、污染监控、应急响应</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的原则，做好地下水生态环境保护各项工作，做好地下水跟踪监测。</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（四）对机加设备、发动机热试等噪声源采取隔声减振等措施，厂界噪声排放执行《工业企业厂界环境噪声排放标准》（GB12348-2008）中的3类标准限值。</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五）固体废物收集、处置须执行《中华人民共和国固体废物污染环境防治法》中相关规定。其中，拟建项目产生的废切削液、废机油、废催化剂、废清洗剂、废活性炭、污水处理系统浓缩液、冷冻液、污泥等所有危险废物须按规范收集、贮存并交有资质单位处置，执行北京市危险废物转移联单制度。</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（六）按照有关要求做好大气排放口规范工作，执行《固定污染源监测点位设置技术规范》（DB11/1195-2015）。按照《排污单位自行监测技术指南 总则》（HJ819</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2017）等相关要求，按报告表拟定的监测计划做好自行监测。</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（七）按照测算，拟建项目实施后，全厂排入大气的挥发性有机物不高于6143千克/年、氮氧化物 6008千克/年、二氧化硫197千克/年、颗粒物4189千克/年。</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（八）施工过程严格执行《北京市建设工程施工现场管理办法》， 施工厂界噪声执行《建筑施工场界环境噪声排放标准》（GB12523-2011）；认真落实《北京市空气重污染应急预案</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2018己年修订）》等相关要求。</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三、项目建设须严格执行配套的环境保护设施与主体工程同时设计、同时施工、同时投产使用的环境保护</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三同时</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制度。依据有关规定向生态环境部门申请排污许可变更。</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四、自环境影响报告表批复之日起五年内项目未能开工建设的，本批复自动失效。项目性质、规模、地点、采用的生产工艺或环保措施发生重大变化，应重新报批建设项目环评文件。</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五、项目竣工后须按照有关规定办理环保验收。</w:t>
            </w:r>
          </w:p>
          <w:p>
            <w:pPr>
              <w:spacing w:after="0" w:line="540" w:lineRule="exact"/>
              <w:ind w:firstLine="420" w:firstLineChars="200"/>
              <w:rPr>
                <w:rFonts w:ascii="Times New Roman" w:hAnsi="Times New Roman" w:eastAsia="宋体" w:cs="Times New Roman"/>
                <w:color w:val="auto"/>
                <w:sz w:val="21"/>
                <w:szCs w:val="21"/>
                <w:lang w:eastAsia="zh-Hans"/>
              </w:rPr>
            </w:pPr>
            <w:r>
              <w:rPr>
                <w:rFonts w:hint="eastAsia" w:ascii="Times New Roman" w:hAnsi="Times New Roman" w:eastAsia="宋体" w:cs="Times New Roman"/>
                <w:color w:val="auto"/>
                <w:sz w:val="21"/>
                <w:szCs w:val="21"/>
                <w:lang w:eastAsia="zh-Hans"/>
              </w:rPr>
              <w:t>本次验收的内容在批复中的要求：</w:t>
            </w:r>
          </w:p>
          <w:p>
            <w:pPr>
              <w:spacing w:after="0" w:line="540" w:lineRule="exact"/>
              <w:ind w:firstLine="420" w:firstLineChars="200"/>
              <w:rPr>
                <w:rFonts w:ascii="Times New Roman" w:hAnsi="Times New Roman" w:eastAsia="宋体" w:cs="Times New Roman"/>
                <w:color w:val="auto"/>
                <w:sz w:val="21"/>
                <w:szCs w:val="21"/>
                <w:lang w:eastAsia="zh-Hans"/>
              </w:rPr>
            </w:pPr>
            <w:r>
              <w:rPr>
                <w:rFonts w:hint="eastAsia" w:ascii="Times New Roman" w:hAnsi="Times New Roman" w:eastAsia="宋体" w:cs="Times New Roman"/>
                <w:color w:val="auto"/>
                <w:sz w:val="21"/>
                <w:szCs w:val="21"/>
                <w:lang w:eastAsia="zh-Hans"/>
              </w:rPr>
              <w:t>（</w:t>
            </w:r>
            <w:r>
              <w:rPr>
                <w:rFonts w:ascii="Times New Roman" w:hAnsi="Times New Roman" w:eastAsia="宋体" w:cs="Times New Roman"/>
                <w:color w:val="auto"/>
                <w:sz w:val="21"/>
                <w:szCs w:val="21"/>
                <w:lang w:eastAsia="zh-Hans"/>
              </w:rPr>
              <w:t>1</w:t>
            </w:r>
            <w:r>
              <w:rPr>
                <w:rFonts w:hint="eastAsia" w:ascii="Times New Roman" w:hAnsi="Times New Roman" w:eastAsia="宋体" w:cs="Times New Roman"/>
                <w:color w:val="auto"/>
                <w:sz w:val="21"/>
                <w:szCs w:val="21"/>
                <w:lang w:eastAsia="zh-Hans"/>
              </w:rPr>
              <w:t>）废气</w:t>
            </w:r>
          </w:p>
          <w:p>
            <w:pPr>
              <w:spacing w:after="0" w:line="520" w:lineRule="exact"/>
              <w:ind w:firstLine="420" w:firstLineChars="200"/>
              <w:rPr>
                <w:rFonts w:ascii="Times New Roman" w:hAnsi="Times New Roman" w:eastAsia="宋体" w:cs="Times New Roman"/>
                <w:color w:val="auto"/>
                <w:sz w:val="21"/>
                <w:szCs w:val="21"/>
                <w:lang w:eastAsia="zh-Hans"/>
              </w:rPr>
            </w:pPr>
            <w:r>
              <w:rPr>
                <w:rFonts w:ascii="Times New Roman" w:hAnsi="Times New Roman" w:eastAsia="宋体" w:cs="Times New Roman"/>
                <w:color w:val="auto"/>
                <w:sz w:val="21"/>
                <w:szCs w:val="21"/>
              </w:rPr>
              <w:t>发动机检测试验工序产生的废气经SCR脱销装置处理后排放，氮氧化物、颗粒物、非</w:t>
            </w:r>
            <w:r>
              <w:rPr>
                <w:rFonts w:hint="eastAsia" w:ascii="Times New Roman" w:hAnsi="Times New Roman" w:eastAsia="宋体" w:cs="Times New Roman"/>
                <w:color w:val="auto"/>
                <w:sz w:val="21"/>
                <w:szCs w:val="21"/>
                <w:lang w:val="en-US" w:eastAsia="zh-CN"/>
              </w:rPr>
              <w:t>甲烷</w:t>
            </w:r>
            <w:r>
              <w:rPr>
                <w:rFonts w:ascii="Times New Roman" w:hAnsi="Times New Roman" w:eastAsia="宋体" w:cs="Times New Roman"/>
                <w:color w:val="auto"/>
                <w:sz w:val="21"/>
                <w:szCs w:val="21"/>
              </w:rPr>
              <w:t>总烃等污染物执行《大气污染物综合排放标准》（DB11/501-2017）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表3 生产工艺废气及其他废气大气污染物排放限值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时段相关限值要求</w:t>
            </w:r>
            <w:r>
              <w:rPr>
                <w:rFonts w:hint="eastAsia" w:ascii="Times New Roman" w:hAnsi="Times New Roman" w:eastAsia="宋体" w:cs="Times New Roman"/>
                <w:color w:val="auto"/>
                <w:sz w:val="21"/>
                <w:szCs w:val="21"/>
                <w:lang w:eastAsia="zh-Hans"/>
              </w:rPr>
              <w:t>。</w:t>
            </w:r>
          </w:p>
          <w:p>
            <w:pPr>
              <w:spacing w:after="0" w:line="52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r>
              <w:rPr>
                <w:rFonts w:hint="eastAsia" w:ascii="Times New Roman" w:hAnsi="Times New Roman" w:eastAsia="宋体" w:cs="Times New Roman"/>
                <w:color w:val="auto"/>
                <w:sz w:val="21"/>
                <w:szCs w:val="21"/>
                <w:lang w:eastAsia="zh-Hans"/>
              </w:rPr>
              <w:t>对</w:t>
            </w:r>
            <w:r>
              <w:rPr>
                <w:rFonts w:ascii="Times New Roman" w:hAnsi="Times New Roman" w:eastAsia="宋体" w:cs="Times New Roman"/>
                <w:color w:val="auto"/>
                <w:sz w:val="21"/>
                <w:szCs w:val="21"/>
              </w:rPr>
              <w:t>发动机热试等噪声源采取隔声减振等措施，厂界噪声排放执行《工业企业厂界环境噪声排放标准》（GB12348-2008）中的3类标准限值。</w:t>
            </w:r>
          </w:p>
          <w:p>
            <w:pPr>
              <w:spacing w:after="0" w:line="52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w:t>
            </w:r>
            <w:r>
              <w:rPr>
                <w:rFonts w:ascii="Times New Roman" w:hAnsi="Times New Roman" w:eastAsia="宋体" w:cs="Times New Roman"/>
                <w:color w:val="auto"/>
                <w:sz w:val="21"/>
                <w:szCs w:val="21"/>
                <w:lang w:eastAsia="zh-Hans"/>
              </w:rPr>
              <w:t>3</w:t>
            </w:r>
            <w:r>
              <w:rPr>
                <w:rFonts w:hint="eastAsia" w:ascii="Times New Roman" w:hAnsi="Times New Roman" w:eastAsia="宋体" w:cs="Times New Roman"/>
                <w:color w:val="auto"/>
                <w:sz w:val="21"/>
                <w:szCs w:val="21"/>
                <w:lang w:eastAsia="zh-Hans"/>
              </w:rPr>
              <w:t>）</w:t>
            </w:r>
            <w:r>
              <w:rPr>
                <w:rFonts w:ascii="Times New Roman" w:hAnsi="Times New Roman" w:eastAsia="宋体" w:cs="Times New Roman"/>
                <w:color w:val="auto"/>
                <w:sz w:val="21"/>
                <w:szCs w:val="21"/>
              </w:rPr>
              <w:t>固体废物收集、处置须执行《中华人民共和国固体废物污染环境防治法》中相关规定。其中，拟建项目产生的废催化剂等危险废物须按规范收集、贮存并交有资质单位处置，执行北京市危险废物转移联单制度。</w:t>
            </w:r>
          </w:p>
          <w:p>
            <w:pPr>
              <w:spacing w:after="0" w:line="520" w:lineRule="exact"/>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（4）按照有关要求做好大气排放口规范工作，执行《固定污染源监测点位设置技术规范》（DB11/1195-2015）。按照《排污单位自行监测技术指南 总则》（HJ819</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2017）等相关要求，按报告表拟定的监测计划做好自行监测。</w:t>
            </w:r>
          </w:p>
          <w:p>
            <w:pPr>
              <w:spacing w:after="0" w:line="52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w:t>
            </w:r>
            <w:r>
              <w:rPr>
                <w:rFonts w:ascii="Times New Roman" w:hAnsi="Times New Roman" w:eastAsia="宋体" w:cs="Times New Roman"/>
                <w:color w:val="auto"/>
                <w:sz w:val="21"/>
                <w:szCs w:val="21"/>
                <w:lang w:eastAsia="zh-Hans"/>
              </w:rPr>
              <w:t>7</w:t>
            </w:r>
            <w:r>
              <w:rPr>
                <w:rFonts w:hint="eastAsia" w:ascii="Times New Roman" w:hAnsi="Times New Roman" w:eastAsia="宋体" w:cs="Times New Roman"/>
                <w:color w:val="auto"/>
                <w:sz w:val="21"/>
                <w:szCs w:val="21"/>
                <w:lang w:eastAsia="zh-Hans"/>
              </w:rPr>
              <w:t>）</w:t>
            </w:r>
            <w:r>
              <w:rPr>
                <w:rFonts w:ascii="Times New Roman" w:hAnsi="Times New Roman" w:eastAsia="宋体" w:cs="Times New Roman"/>
                <w:color w:val="auto"/>
                <w:sz w:val="21"/>
                <w:szCs w:val="21"/>
              </w:rPr>
              <w:t>项目建设须严格执行配套的环境保护设施与主体工程同时设计、同时施工、同时投产使用的环境保护</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三同时</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制度。依据有关规定向生态环境部门申请排污许可变更。</w:t>
            </w:r>
          </w:p>
          <w:p>
            <w:pPr>
              <w:numPr>
                <w:ilvl w:val="255"/>
                <w:numId w:val="0"/>
              </w:numPr>
              <w:spacing w:after="0" w:line="520" w:lineRule="exact"/>
              <w:ind w:firstLine="420" w:firstLineChars="200"/>
              <w:rPr>
                <w:rFonts w:ascii="Times New Roman" w:hAnsi="Times New Roman" w:eastAsia="宋体" w:cs="Times New Roman"/>
                <w:color w:val="auto"/>
                <w:sz w:val="21"/>
                <w:szCs w:val="21"/>
              </w:rPr>
            </w:pPr>
          </w:p>
          <w:p>
            <w:pPr>
              <w:pStyle w:val="2"/>
              <w:rPr>
                <w:rFonts w:ascii="Times New Roman" w:hAnsi="Times New Roman" w:eastAsia="宋体" w:cs="Times New Roman"/>
                <w:color w:val="auto"/>
                <w:sz w:val="21"/>
                <w:szCs w:val="21"/>
              </w:rPr>
            </w:pPr>
          </w:p>
          <w:p>
            <w:pPr>
              <w:pStyle w:val="3"/>
              <w:rPr>
                <w:rFonts w:ascii="Times New Roman" w:hAnsi="Times New Roman" w:eastAsia="宋体" w:cs="Times New Roman"/>
                <w:color w:val="auto"/>
                <w:sz w:val="21"/>
                <w:szCs w:val="21"/>
              </w:rPr>
            </w:pPr>
          </w:p>
          <w:p>
            <w:pPr>
              <w:rPr>
                <w:rFonts w:ascii="Times New Roman" w:hAnsi="Times New Roman" w:eastAsia="宋体" w:cs="Times New Roman"/>
                <w:color w:val="auto"/>
                <w:sz w:val="21"/>
                <w:szCs w:val="21"/>
              </w:rPr>
            </w:pPr>
          </w:p>
          <w:p>
            <w:pPr>
              <w:pStyle w:val="2"/>
              <w:rPr>
                <w:rFonts w:ascii="Times New Roman" w:hAnsi="Times New Roman" w:eastAsia="宋体" w:cs="Times New Roman"/>
                <w:color w:val="auto"/>
                <w:sz w:val="21"/>
                <w:szCs w:val="21"/>
              </w:rPr>
            </w:pPr>
          </w:p>
          <w:p>
            <w:pPr>
              <w:pStyle w:val="3"/>
              <w:rPr>
                <w:rFonts w:ascii="Times New Roman" w:hAnsi="Times New Roman" w:eastAsia="宋体" w:cs="Times New Roman"/>
                <w:color w:val="auto"/>
                <w:sz w:val="21"/>
                <w:szCs w:val="21"/>
              </w:rPr>
            </w:pPr>
          </w:p>
          <w:p>
            <w:pPr>
              <w:rPr>
                <w:rFonts w:ascii="Times New Roman" w:hAnsi="Times New Roman" w:eastAsia="宋体" w:cs="Times New Roman"/>
                <w:color w:val="auto"/>
                <w:sz w:val="21"/>
                <w:szCs w:val="21"/>
              </w:rPr>
            </w:pPr>
          </w:p>
          <w:p>
            <w:pPr>
              <w:pStyle w:val="2"/>
              <w:rPr>
                <w:color w:val="auto"/>
              </w:rPr>
            </w:pPr>
          </w:p>
          <w:p>
            <w:pPr>
              <w:spacing w:after="0" w:line="520" w:lineRule="exact"/>
              <w:ind w:firstLine="440" w:firstLineChars="200"/>
              <w:rPr>
                <w:color w:val="auto"/>
              </w:rPr>
            </w:pPr>
          </w:p>
          <w:p>
            <w:pPr>
              <w:pStyle w:val="24"/>
              <w:ind w:left="0" w:leftChars="0" w:firstLine="0" w:firstLineChars="0"/>
              <w:jc w:val="both"/>
              <w:rPr>
                <w:color w:val="auto"/>
              </w:rPr>
            </w:pPr>
          </w:p>
        </w:tc>
      </w:tr>
    </w:tbl>
    <w:p>
      <w:pPr>
        <w:spacing w:line="360" w:lineRule="auto"/>
        <w:rPr>
          <w:rFonts w:eastAsia="仿宋_GB2312"/>
          <w:color w:val="auto"/>
          <w:sz w:val="21"/>
          <w:szCs w:val="21"/>
        </w:rPr>
        <w:sectPr>
          <w:pgSz w:w="11906" w:h="16838"/>
          <w:pgMar w:top="1440" w:right="1800" w:bottom="1440" w:left="1800" w:header="708" w:footer="708" w:gutter="0"/>
          <w:cols w:space="720" w:num="1"/>
          <w:docGrid w:linePitch="360" w:charSpace="0"/>
        </w:sectPr>
      </w:pPr>
    </w:p>
    <w:p>
      <w:pPr>
        <w:spacing w:after="0" w:line="360" w:lineRule="auto"/>
        <w:outlineLvl w:val="0"/>
        <w:rPr>
          <w:rFonts w:eastAsia="仿宋_GB2312"/>
          <w:b/>
          <w:color w:val="auto"/>
          <w:sz w:val="21"/>
          <w:szCs w:val="21"/>
        </w:rPr>
      </w:pPr>
      <w:r>
        <w:rPr>
          <w:rFonts w:eastAsia="仿宋_GB2312"/>
          <w:b/>
          <w:color w:val="auto"/>
          <w:sz w:val="21"/>
          <w:szCs w:val="21"/>
        </w:rPr>
        <w:t>表</w:t>
      </w:r>
      <w:r>
        <w:rPr>
          <w:rFonts w:hint="eastAsia" w:eastAsia="仿宋_GB2312"/>
          <w:b/>
          <w:color w:val="auto"/>
          <w:sz w:val="21"/>
          <w:szCs w:val="21"/>
        </w:rPr>
        <w:t>五</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24" w:type="dxa"/>
          </w:tcPr>
          <w:p>
            <w:pPr>
              <w:spacing w:after="0"/>
              <w:rPr>
                <w:rFonts w:ascii="宋体" w:hAnsi="宋体" w:eastAsia="宋体"/>
                <w:color w:val="auto"/>
                <w:sz w:val="21"/>
                <w:szCs w:val="21"/>
              </w:rPr>
            </w:pPr>
            <w:r>
              <w:rPr>
                <w:rFonts w:hint="eastAsia" w:ascii="宋体" w:hAnsi="宋体" w:eastAsia="宋体"/>
                <w:color w:val="auto"/>
                <w:sz w:val="21"/>
                <w:szCs w:val="21"/>
              </w:rPr>
              <w:t>验收监测质量保证及质量控制：</w:t>
            </w:r>
          </w:p>
          <w:p>
            <w:pPr>
              <w:spacing w:line="360" w:lineRule="exact"/>
              <w:rPr>
                <w:rFonts w:cs="Times New Roman"/>
                <w:color w:val="auto"/>
                <w:sz w:val="24"/>
                <w:szCs w:val="24"/>
              </w:rPr>
            </w:pPr>
            <w:r>
              <w:rPr>
                <w:rFonts w:ascii="Times New Roman" w:hAnsi="Times New Roman" w:eastAsia="黑体" w:cs="Times New Roman"/>
                <w:color w:val="auto"/>
                <w:sz w:val="21"/>
                <w:szCs w:val="21"/>
              </w:rPr>
              <w:t>1</w:t>
            </w:r>
            <w:r>
              <w:rPr>
                <w:rFonts w:hint="eastAsia" w:ascii="Times New Roman" w:hAnsi="Times New Roman" w:eastAsia="黑体" w:cs="Times New Roman"/>
                <w:color w:val="auto"/>
                <w:sz w:val="21"/>
                <w:szCs w:val="21"/>
              </w:rPr>
              <w:t xml:space="preserve">. </w:t>
            </w:r>
            <w:r>
              <w:rPr>
                <w:rFonts w:ascii="Times New Roman" w:hAnsi="Times New Roman" w:eastAsia="黑体" w:cs="Times New Roman"/>
                <w:color w:val="auto"/>
                <w:sz w:val="21"/>
                <w:szCs w:val="21"/>
              </w:rPr>
              <w:t>监测分析方法</w:t>
            </w:r>
          </w:p>
          <w:p>
            <w:pPr>
              <w:spacing w:after="0"/>
              <w:jc w:val="center"/>
              <w:rPr>
                <w:rFonts w:ascii="Times New Roman" w:hAnsi="Times New Roman" w:eastAsia="黑体" w:cs="Times New Roman"/>
                <w:color w:val="auto"/>
                <w:kern w:val="2"/>
                <w:sz w:val="21"/>
                <w:szCs w:val="21"/>
              </w:rPr>
            </w:pPr>
            <w:r>
              <w:rPr>
                <w:rFonts w:hint="eastAsia" w:ascii="Times New Roman" w:hAnsi="Times New Roman" w:eastAsia="黑体" w:cs="Times New Roman"/>
                <w:color w:val="auto"/>
                <w:kern w:val="2"/>
                <w:sz w:val="21"/>
                <w:szCs w:val="21"/>
              </w:rPr>
              <w:t>表5-1 监测分析方法</w:t>
            </w:r>
          </w:p>
          <w:tbl>
            <w:tblPr>
              <w:tblStyle w:val="18"/>
              <w:tblW w:w="47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65"/>
              <w:gridCol w:w="6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425"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类别</w:t>
                  </w:r>
                </w:p>
              </w:tc>
              <w:tc>
                <w:tcPr>
                  <w:tcW w:w="698"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检验项目</w:t>
                  </w:r>
                </w:p>
              </w:tc>
              <w:tc>
                <w:tcPr>
                  <w:tcW w:w="3875"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检验依据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425" w:type="pct"/>
                  <w:vMerge w:val="restar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有组织废气</w:t>
                  </w:r>
                </w:p>
              </w:tc>
              <w:tc>
                <w:tcPr>
                  <w:tcW w:w="69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非甲烷总烃</w:t>
                  </w:r>
                </w:p>
              </w:tc>
              <w:tc>
                <w:tcPr>
                  <w:tcW w:w="387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HJ 38-2017《固定污染源废气 总烃、甲烷和非甲烷总烃的测定 气相色谱法》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425" w:type="pct"/>
                  <w:vMerge w:val="continue"/>
                  <w:vAlign w:val="center"/>
                </w:tcPr>
                <w:p>
                  <w:pPr>
                    <w:spacing w:after="0"/>
                    <w:jc w:val="center"/>
                    <w:rPr>
                      <w:rFonts w:ascii="Times New Roman" w:hAnsi="Times New Roman" w:eastAsia="宋体" w:cs="Times New Roman"/>
                      <w:bCs/>
                      <w:color w:val="auto"/>
                      <w:sz w:val="18"/>
                      <w:szCs w:val="18"/>
                    </w:rPr>
                  </w:pPr>
                </w:p>
              </w:tc>
              <w:tc>
                <w:tcPr>
                  <w:tcW w:w="69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颗粒物</w:t>
                  </w:r>
                </w:p>
              </w:tc>
              <w:tc>
                <w:tcPr>
                  <w:tcW w:w="387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HJ 836-2017《固定污染源废气 低浓度颗粒物的测定 重量法》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425" w:type="pct"/>
                  <w:vMerge w:val="continue"/>
                  <w:vAlign w:val="center"/>
                </w:tcPr>
                <w:p>
                  <w:pPr>
                    <w:spacing w:after="0"/>
                    <w:jc w:val="center"/>
                    <w:rPr>
                      <w:rFonts w:ascii="Times New Roman" w:hAnsi="Times New Roman" w:eastAsia="宋体" w:cs="Times New Roman"/>
                      <w:bCs/>
                      <w:color w:val="auto"/>
                      <w:sz w:val="18"/>
                      <w:szCs w:val="18"/>
                    </w:rPr>
                  </w:pPr>
                </w:p>
              </w:tc>
              <w:tc>
                <w:tcPr>
                  <w:tcW w:w="69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氮氧化物</w:t>
                  </w:r>
                </w:p>
              </w:tc>
              <w:tc>
                <w:tcPr>
                  <w:tcW w:w="387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HJ 693-2014《固定污染源废气 氮氧化物的测定 定电位电解法》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42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噪声</w:t>
                  </w:r>
                </w:p>
              </w:tc>
              <w:tc>
                <w:tcPr>
                  <w:tcW w:w="69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噪声</w:t>
                  </w:r>
                </w:p>
              </w:tc>
              <w:tc>
                <w:tcPr>
                  <w:tcW w:w="3875"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GB12348-2008《工业企业厂界环境噪声排放标准》</w:t>
                  </w:r>
                </w:p>
              </w:tc>
            </w:tr>
          </w:tbl>
          <w:p>
            <w:pPr>
              <w:spacing w:line="360" w:lineRule="exact"/>
              <w:rPr>
                <w:rFonts w:cs="Times New Roman"/>
                <w:color w:val="auto"/>
                <w:sz w:val="21"/>
                <w:szCs w:val="21"/>
              </w:rPr>
            </w:pPr>
            <w:r>
              <w:rPr>
                <w:rFonts w:hint="eastAsia" w:ascii="Times New Roman" w:hAnsi="Times New Roman" w:eastAsia="黑体" w:cs="Times New Roman"/>
                <w:color w:val="auto"/>
                <w:sz w:val="21"/>
                <w:szCs w:val="21"/>
              </w:rPr>
              <w:t>2. 监测仪器</w:t>
            </w:r>
          </w:p>
          <w:p>
            <w:pPr>
              <w:spacing w:after="0"/>
              <w:jc w:val="center"/>
              <w:rPr>
                <w:rFonts w:ascii="Times New Roman" w:hAnsi="Times New Roman" w:eastAsia="宋体" w:cs="Times New Roman"/>
                <w:b/>
                <w:color w:val="auto"/>
                <w:sz w:val="21"/>
                <w:szCs w:val="21"/>
              </w:rPr>
            </w:pPr>
            <w:r>
              <w:rPr>
                <w:rFonts w:hint="eastAsia" w:ascii="Times New Roman" w:hAnsi="Times New Roman" w:eastAsia="黑体" w:cs="Times New Roman"/>
                <w:color w:val="auto"/>
                <w:kern w:val="2"/>
                <w:sz w:val="21"/>
                <w:szCs w:val="21"/>
              </w:rPr>
              <w:t>表5-2 监测仪器表</w:t>
            </w:r>
          </w:p>
          <w:tbl>
            <w:tblPr>
              <w:tblStyle w:val="18"/>
              <w:tblW w:w="8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0"/>
              <w:gridCol w:w="3044"/>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2340"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设备名称及型号</w:t>
                  </w:r>
                </w:p>
              </w:tc>
              <w:tc>
                <w:tcPr>
                  <w:tcW w:w="1836"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设备编号</w:t>
                  </w:r>
                </w:p>
              </w:tc>
              <w:tc>
                <w:tcPr>
                  <w:tcW w:w="823"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设备状态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多功能声级计AWA6228+</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SB-291、SB-205</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风向风速计16024</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SB-171</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Ⅰ型声级校准器AWA6021A</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SB-211</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烟气采样器（双路） 崂应3072型</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SB-221</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智能双路烟气采样器 崂应 3072 型</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SB-090</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自动烟尘气测试仪 崂应 3012H</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SB-187、SB-188</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紫外可见分光光度计 TU-1810DPC</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SB-143</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环境空气综合采样器 崂应 2050 型</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SB-018</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智能四路空气采样器 崂应 2020S</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SB-178、SB-183</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空气/智能TSP综合采样器 崂应2050</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SB-145、SB-146</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离子色谱883</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JC-H76</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自动烟尘气测试仪 崂应 3012H</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SB-187、SB-188、SB-175、SB-186</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烟气综合分析仪 崂应3022型</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SB-220</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气相色谱仪 GC9790Plus</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JC-H111、JC-H110</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一体式烟气流速监测仪 崂应3060-A</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SB-197、SB-198</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电子天平（岛津） AUW220D</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SB-204</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恒温恒湿称重系统 HJ836-260</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SB-207</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电子天平 AB104-S型</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JC-H02</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便携式浊度仪 HACH 2100Q</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SB-200-3</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溶解氧仪 DO200 型</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JC-H83</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生化培养箱LH-BOD601A</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JC-H91</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紫外可见分光光度计TU-1810DPC</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SB-143</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3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红外分光测油仪OIL460</w:t>
                  </w:r>
                </w:p>
              </w:tc>
              <w:tc>
                <w:tcPr>
                  <w:tcW w:w="18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JC-H79</w:t>
                  </w:r>
                </w:p>
              </w:tc>
              <w:tc>
                <w:tcPr>
                  <w:tcW w:w="82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检定合格</w:t>
                  </w:r>
                </w:p>
              </w:tc>
            </w:tr>
          </w:tbl>
          <w:p>
            <w:pPr>
              <w:spacing w:line="360" w:lineRule="exact"/>
              <w:rPr>
                <w:rFonts w:hint="eastAsia" w:ascii="Times New Roman" w:hAnsi="Times New Roman" w:eastAsia="黑体" w:cs="Times New Roman"/>
                <w:color w:val="auto"/>
                <w:sz w:val="21"/>
                <w:szCs w:val="21"/>
              </w:rPr>
            </w:pPr>
          </w:p>
          <w:p>
            <w:pPr>
              <w:spacing w:line="360" w:lineRule="exact"/>
              <w:rPr>
                <w:rFonts w:cs="Times New Roman"/>
                <w:color w:val="auto"/>
                <w:sz w:val="21"/>
                <w:szCs w:val="21"/>
              </w:rPr>
            </w:pPr>
            <w:r>
              <w:rPr>
                <w:rFonts w:hint="eastAsia" w:ascii="Times New Roman" w:hAnsi="Times New Roman" w:eastAsia="黑体" w:cs="Times New Roman"/>
                <w:color w:val="auto"/>
                <w:sz w:val="21"/>
                <w:szCs w:val="21"/>
              </w:rPr>
              <w:t>3. 人员资质</w:t>
            </w:r>
          </w:p>
          <w:p>
            <w:pPr>
              <w:spacing w:after="0"/>
              <w:jc w:val="center"/>
              <w:rPr>
                <w:rFonts w:hint="eastAsia" w:ascii="Times New Roman" w:hAnsi="Times New Roman" w:eastAsia="黑体" w:cs="Times New Roman"/>
                <w:color w:val="auto"/>
                <w:kern w:val="2"/>
                <w:sz w:val="21"/>
                <w:szCs w:val="21"/>
              </w:rPr>
            </w:pPr>
          </w:p>
          <w:p>
            <w:pPr>
              <w:spacing w:after="0"/>
              <w:jc w:val="center"/>
              <w:rPr>
                <w:rFonts w:hint="eastAsia" w:ascii="Times New Roman" w:hAnsi="Times New Roman" w:eastAsia="黑体" w:cs="Times New Roman"/>
                <w:color w:val="auto"/>
                <w:kern w:val="2"/>
                <w:sz w:val="21"/>
                <w:szCs w:val="21"/>
              </w:rPr>
            </w:pPr>
          </w:p>
          <w:p>
            <w:pPr>
              <w:spacing w:after="0"/>
              <w:jc w:val="center"/>
              <w:rPr>
                <w:rFonts w:ascii="Times New Roman" w:hAnsi="Times New Roman" w:eastAsia="宋体" w:cs="Times New Roman"/>
                <w:b/>
                <w:color w:val="auto"/>
                <w:sz w:val="21"/>
                <w:szCs w:val="21"/>
              </w:rPr>
            </w:pPr>
            <w:r>
              <w:rPr>
                <w:rFonts w:hint="eastAsia" w:ascii="Times New Roman" w:hAnsi="Times New Roman" w:eastAsia="黑体" w:cs="Times New Roman"/>
                <w:color w:val="auto"/>
                <w:kern w:val="2"/>
                <w:sz w:val="21"/>
                <w:szCs w:val="21"/>
              </w:rPr>
              <w:t>表5-3 服务于本项目实施团队主要人员名单</w:t>
            </w:r>
          </w:p>
          <w:tbl>
            <w:tblPr>
              <w:tblStyle w:val="18"/>
              <w:tblW w:w="48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851"/>
              <w:gridCol w:w="1133"/>
              <w:gridCol w:w="850"/>
              <w:gridCol w:w="1024"/>
              <w:gridCol w:w="1305"/>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2"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拟担任</w:t>
                  </w:r>
                </w:p>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职务、分工</w:t>
                  </w:r>
                </w:p>
              </w:tc>
              <w:tc>
                <w:tcPr>
                  <w:tcW w:w="508"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姓名</w:t>
                  </w:r>
                </w:p>
              </w:tc>
              <w:tc>
                <w:tcPr>
                  <w:tcW w:w="677"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职称</w:t>
                  </w:r>
                </w:p>
              </w:tc>
              <w:tc>
                <w:tcPr>
                  <w:tcW w:w="508"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学历</w:t>
                  </w:r>
                </w:p>
              </w:tc>
              <w:tc>
                <w:tcPr>
                  <w:tcW w:w="612"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专业</w:t>
                  </w:r>
                </w:p>
              </w:tc>
              <w:tc>
                <w:tcPr>
                  <w:tcW w:w="780"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从业资格</w:t>
                  </w:r>
                </w:p>
              </w:tc>
              <w:tc>
                <w:tcPr>
                  <w:tcW w:w="640"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相关</w:t>
                  </w:r>
                </w:p>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质量负责人、授权签字人</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李娜</w:t>
                  </w:r>
                </w:p>
              </w:tc>
              <w:tc>
                <w:tcPr>
                  <w:tcW w:w="67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高级工程师</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本科</w:t>
                  </w:r>
                </w:p>
              </w:tc>
              <w:tc>
                <w:tcPr>
                  <w:tcW w:w="61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化学</w:t>
                  </w:r>
                </w:p>
              </w:tc>
              <w:tc>
                <w:tcPr>
                  <w:tcW w:w="78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报告审核</w:t>
                  </w:r>
                </w:p>
              </w:tc>
              <w:tc>
                <w:tcPr>
                  <w:tcW w:w="6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技术负责人、授权签字人</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王浩</w:t>
                  </w:r>
                </w:p>
              </w:tc>
              <w:tc>
                <w:tcPr>
                  <w:tcW w:w="67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高级工程师</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研究生</w:t>
                  </w:r>
                </w:p>
              </w:tc>
              <w:tc>
                <w:tcPr>
                  <w:tcW w:w="61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化学</w:t>
                  </w:r>
                </w:p>
              </w:tc>
              <w:tc>
                <w:tcPr>
                  <w:tcW w:w="78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检测、采样</w:t>
                  </w:r>
                </w:p>
              </w:tc>
              <w:tc>
                <w:tcPr>
                  <w:tcW w:w="6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采样人员</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刘珂屹</w:t>
                  </w:r>
                </w:p>
              </w:tc>
              <w:tc>
                <w:tcPr>
                  <w:tcW w:w="67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助理工程师</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本科</w:t>
                  </w:r>
                </w:p>
              </w:tc>
              <w:tc>
                <w:tcPr>
                  <w:tcW w:w="61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环境科学</w:t>
                  </w:r>
                </w:p>
              </w:tc>
              <w:tc>
                <w:tcPr>
                  <w:tcW w:w="78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现场采样</w:t>
                  </w:r>
                </w:p>
              </w:tc>
              <w:tc>
                <w:tcPr>
                  <w:tcW w:w="6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采样人员</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何松</w:t>
                  </w:r>
                </w:p>
              </w:tc>
              <w:tc>
                <w:tcPr>
                  <w:tcW w:w="67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工程师</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大专</w:t>
                  </w:r>
                </w:p>
              </w:tc>
              <w:tc>
                <w:tcPr>
                  <w:tcW w:w="61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建筑电气</w:t>
                  </w:r>
                </w:p>
              </w:tc>
              <w:tc>
                <w:tcPr>
                  <w:tcW w:w="78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现场采样</w:t>
                  </w:r>
                </w:p>
              </w:tc>
              <w:tc>
                <w:tcPr>
                  <w:tcW w:w="6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采样人员</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李建佳</w:t>
                  </w:r>
                </w:p>
              </w:tc>
              <w:tc>
                <w:tcPr>
                  <w:tcW w:w="67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助理工程师</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大专</w:t>
                  </w:r>
                </w:p>
              </w:tc>
              <w:tc>
                <w:tcPr>
                  <w:tcW w:w="61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环境监测</w:t>
                  </w:r>
                </w:p>
              </w:tc>
              <w:tc>
                <w:tcPr>
                  <w:tcW w:w="78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现场采样</w:t>
                  </w:r>
                </w:p>
              </w:tc>
              <w:tc>
                <w:tcPr>
                  <w:tcW w:w="6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报告审核</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李娜</w:t>
                  </w:r>
                </w:p>
              </w:tc>
              <w:tc>
                <w:tcPr>
                  <w:tcW w:w="677"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高级工程师</w:t>
                  </w:r>
                </w:p>
              </w:tc>
              <w:tc>
                <w:tcPr>
                  <w:tcW w:w="50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本科</w:t>
                  </w:r>
                </w:p>
              </w:tc>
              <w:tc>
                <w:tcPr>
                  <w:tcW w:w="612"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化学</w:t>
                  </w:r>
                </w:p>
              </w:tc>
              <w:tc>
                <w:tcPr>
                  <w:tcW w:w="78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报告审核</w:t>
                  </w:r>
                </w:p>
              </w:tc>
              <w:tc>
                <w:tcPr>
                  <w:tcW w:w="640"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11</w:t>
                  </w:r>
                </w:p>
              </w:tc>
            </w:tr>
          </w:tbl>
          <w:p>
            <w:pPr>
              <w:spacing w:after="0" w:line="560" w:lineRule="exact"/>
              <w:rPr>
                <w:rFonts w:ascii="Times New Roman" w:hAnsi="Times New Roman" w:eastAsia="宋体" w:cs="Times New Roman"/>
                <w:b/>
                <w:bCs/>
                <w:color w:val="auto"/>
                <w:sz w:val="21"/>
                <w:szCs w:val="21"/>
              </w:rPr>
            </w:pPr>
            <w:bookmarkStart w:id="5" w:name="_Toc536516972"/>
            <w:r>
              <w:rPr>
                <w:rFonts w:hint="eastAsia" w:ascii="Times New Roman" w:hAnsi="Times New Roman" w:eastAsia="黑体" w:cs="Times New Roman"/>
                <w:color w:val="auto"/>
                <w:sz w:val="21"/>
                <w:szCs w:val="21"/>
              </w:rPr>
              <w:t>4. 气体监测分析过程中的质量保证和质量控制</w:t>
            </w:r>
            <w:bookmarkEnd w:id="5"/>
          </w:p>
          <w:p>
            <w:pPr>
              <w:pStyle w:val="5"/>
              <w:spacing w:before="0" w:beforeLines="0" w:after="0" w:line="560" w:lineRule="exact"/>
              <w:ind w:firstLine="420" w:firstLineChars="200"/>
              <w:rPr>
                <w:rFonts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（1）尽量避免被测排放物中共存污染物对分析的交叉干扰。</w:t>
            </w:r>
          </w:p>
          <w:p>
            <w:pPr>
              <w:pStyle w:val="5"/>
              <w:spacing w:before="0" w:beforeLines="0" w:after="0" w:line="560" w:lineRule="exact"/>
              <w:ind w:firstLine="420" w:firstLineChars="200"/>
              <w:rPr>
                <w:rFonts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（2）被测排放物的浓度在仪器量程的有效范围（即30%~70%之间）。</w:t>
            </w:r>
          </w:p>
          <w:p>
            <w:pPr>
              <w:pStyle w:val="5"/>
              <w:spacing w:before="0" w:beforeLines="0" w:after="0" w:line="560" w:lineRule="exact"/>
              <w:ind w:firstLine="420" w:firstLineChars="200"/>
              <w:rPr>
                <w:color w:val="auto"/>
                <w:sz w:val="21"/>
                <w:szCs w:val="21"/>
              </w:rPr>
            </w:pPr>
            <w:r>
              <w:rPr>
                <w:rFonts w:hint="eastAsia" w:ascii="Times New Roman" w:hAnsi="Times New Roman" w:eastAsia="宋体" w:cs="Times New Roman"/>
                <w:b w:val="0"/>
                <w:bCs w:val="0"/>
                <w:color w:val="auto"/>
                <w:sz w:val="21"/>
                <w:szCs w:val="21"/>
              </w:rPr>
              <w:t>原始记录及报告实行三级审核，确保结果准确性。</w:t>
            </w:r>
          </w:p>
          <w:p>
            <w:pPr>
              <w:spacing w:after="0" w:line="560" w:lineRule="exact"/>
              <w:rPr>
                <w:rFonts w:ascii="Times New Roman" w:hAnsi="Times New Roman" w:eastAsia="宋体" w:cs="Times New Roman"/>
                <w:b/>
                <w:bCs/>
                <w:color w:val="auto"/>
                <w:sz w:val="21"/>
                <w:szCs w:val="21"/>
              </w:rPr>
            </w:pPr>
            <w:bookmarkStart w:id="6" w:name="_Toc536516973"/>
            <w:r>
              <w:rPr>
                <w:rFonts w:hint="eastAsia" w:ascii="Times New Roman" w:hAnsi="Times New Roman" w:eastAsia="黑体" w:cs="Times New Roman"/>
                <w:color w:val="auto"/>
                <w:sz w:val="21"/>
                <w:szCs w:val="21"/>
              </w:rPr>
              <w:t>5. 噪声监测分析过程中的质量保证和质量控制</w:t>
            </w:r>
            <w:bookmarkEnd w:id="6"/>
          </w:p>
          <w:p>
            <w:pPr>
              <w:pStyle w:val="5"/>
              <w:spacing w:before="0" w:beforeLines="0" w:after="0" w:line="560" w:lineRule="exact"/>
              <w:ind w:firstLine="420" w:firstLineChars="200"/>
              <w:rPr>
                <w:rFonts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声级计在测试前后用标准发声源进行校准，测量前后仪器的灵敏度相差不大于0.5dB，若大于0.5dB测试数据无效。</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tc>
      </w:tr>
    </w:tbl>
    <w:p>
      <w:pPr>
        <w:spacing w:line="360" w:lineRule="auto"/>
        <w:rPr>
          <w:rFonts w:eastAsia="仿宋_GB2312"/>
          <w:color w:val="auto"/>
          <w:sz w:val="21"/>
          <w:szCs w:val="21"/>
        </w:rPr>
        <w:sectPr>
          <w:pgSz w:w="11906" w:h="16838"/>
          <w:pgMar w:top="1440" w:right="1800" w:bottom="1440" w:left="1800" w:header="708" w:footer="708" w:gutter="0"/>
          <w:cols w:space="720" w:num="1"/>
          <w:docGrid w:linePitch="360" w:charSpace="0"/>
        </w:sectPr>
      </w:pPr>
    </w:p>
    <w:p>
      <w:pPr>
        <w:spacing w:after="0" w:line="360" w:lineRule="auto"/>
        <w:outlineLvl w:val="0"/>
        <w:rPr>
          <w:rFonts w:eastAsia="仿宋_GB2312"/>
          <w:b/>
          <w:color w:val="auto"/>
          <w:sz w:val="21"/>
          <w:szCs w:val="21"/>
        </w:rPr>
      </w:pPr>
      <w:r>
        <w:rPr>
          <w:rFonts w:eastAsia="仿宋_GB2312"/>
          <w:b/>
          <w:color w:val="auto"/>
          <w:sz w:val="21"/>
          <w:szCs w:val="21"/>
        </w:rPr>
        <w:t>表</w:t>
      </w:r>
      <w:r>
        <w:rPr>
          <w:rFonts w:hint="eastAsia" w:eastAsia="仿宋_GB2312"/>
          <w:b/>
          <w:color w:val="auto"/>
          <w:sz w:val="21"/>
          <w:szCs w:val="21"/>
        </w:rPr>
        <w:t>六</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3" w:hRule="atLeast"/>
          <w:jc w:val="center"/>
        </w:trPr>
        <w:tc>
          <w:tcPr>
            <w:tcW w:w="8924" w:type="dxa"/>
          </w:tcPr>
          <w:p>
            <w:pPr>
              <w:spacing w:before="120" w:beforeLines="50" w:after="0"/>
              <w:rPr>
                <w:rFonts w:ascii="宋体" w:hAnsi="宋体" w:eastAsia="宋体"/>
                <w:color w:val="auto"/>
                <w:sz w:val="21"/>
                <w:szCs w:val="21"/>
              </w:rPr>
            </w:pPr>
            <w:r>
              <w:rPr>
                <w:rFonts w:hint="eastAsia" w:ascii="宋体" w:hAnsi="宋体" w:eastAsia="宋体"/>
                <w:color w:val="auto"/>
                <w:sz w:val="21"/>
                <w:szCs w:val="21"/>
              </w:rPr>
              <w:t>验收监测内容：</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由于本项目没有新增废水外排，因此本次验收监测内容不包括废水污染防治设施。</w:t>
            </w:r>
            <w:r>
              <w:rPr>
                <w:rFonts w:hint="eastAsia" w:ascii="Times New Roman" w:hAnsi="Times New Roman" w:eastAsia="宋体" w:cs="Times New Roman"/>
                <w:color w:val="auto"/>
                <w:sz w:val="21"/>
                <w:szCs w:val="21"/>
              </w:rPr>
              <w:t>本次验收对福田康明斯公司</w:t>
            </w:r>
            <w:r>
              <w:rPr>
                <w:rFonts w:ascii="Times New Roman" w:hAnsi="Times New Roman" w:eastAsia="宋体" w:cs="Times New Roman"/>
                <w:color w:val="auto"/>
                <w:sz w:val="21"/>
                <w:szCs w:val="21"/>
              </w:rPr>
              <w:t>天然气发动机热试</w:t>
            </w:r>
            <w:r>
              <w:rPr>
                <w:rFonts w:hint="eastAsia" w:ascii="Times New Roman" w:hAnsi="Times New Roman" w:eastAsia="宋体" w:cs="Times New Roman"/>
                <w:color w:val="auto"/>
                <w:sz w:val="21"/>
                <w:szCs w:val="21"/>
              </w:rPr>
              <w:t>废气排放口及厂界噪声进行了监测，具体监测内容如下：</w:t>
            </w:r>
          </w:p>
          <w:p>
            <w:pPr>
              <w:keepNext w:val="0"/>
              <w:keepLines w:val="0"/>
              <w:pageBreakBefore w:val="0"/>
              <w:widowControl/>
              <w:kinsoku/>
              <w:wordWrap/>
              <w:overflowPunct/>
              <w:topLinePunct w:val="0"/>
              <w:autoSpaceDE/>
              <w:autoSpaceDN/>
              <w:bidi w:val="0"/>
              <w:adjustRightInd w:val="0"/>
              <w:snapToGrid w:val="0"/>
              <w:spacing w:after="0" w:line="500" w:lineRule="exact"/>
              <w:textAlignment w:val="auto"/>
              <w:rPr>
                <w:rFonts w:ascii="Times New Roman" w:hAnsi="Times New Roman" w:eastAsia="宋体" w:cs="Times New Roman"/>
                <w:bCs/>
                <w:color w:val="auto"/>
                <w:sz w:val="21"/>
                <w:szCs w:val="21"/>
              </w:rPr>
            </w:pPr>
            <w:bookmarkStart w:id="7" w:name="_Toc536516961"/>
            <w:r>
              <w:rPr>
                <w:rFonts w:hint="eastAsia" w:ascii="Times New Roman" w:hAnsi="Times New Roman" w:eastAsia="黑体" w:cs="Times New Roman"/>
                <w:color w:val="auto"/>
                <w:sz w:val="21"/>
                <w:szCs w:val="21"/>
              </w:rPr>
              <w:t>1. 废气</w:t>
            </w:r>
            <w:bookmarkEnd w:id="7"/>
          </w:p>
          <w:p>
            <w:pPr>
              <w:keepNext w:val="0"/>
              <w:keepLines w:val="0"/>
              <w:pageBreakBefore w:val="0"/>
              <w:widowControl/>
              <w:kinsoku/>
              <w:wordWrap/>
              <w:overflowPunct/>
              <w:topLinePunct w:val="0"/>
              <w:autoSpaceDE/>
              <w:autoSpaceDN/>
              <w:bidi w:val="0"/>
              <w:adjustRightInd w:val="0"/>
              <w:snapToGrid w:val="0"/>
              <w:spacing w:after="0" w:line="500" w:lineRule="exact"/>
              <w:ind w:firstLine="48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监测点位：天然气发动机热试</w:t>
            </w:r>
            <w:r>
              <w:rPr>
                <w:rFonts w:hint="eastAsia" w:ascii="Times New Roman" w:hAnsi="Times New Roman" w:eastAsia="宋体" w:cs="Times New Roman"/>
                <w:color w:val="auto"/>
                <w:sz w:val="21"/>
                <w:szCs w:val="21"/>
              </w:rPr>
              <w:t>废气排放口。</w:t>
            </w:r>
          </w:p>
          <w:p>
            <w:pPr>
              <w:keepNext w:val="0"/>
              <w:keepLines w:val="0"/>
              <w:pageBreakBefore w:val="0"/>
              <w:widowControl/>
              <w:kinsoku/>
              <w:wordWrap/>
              <w:overflowPunct/>
              <w:topLinePunct w:val="0"/>
              <w:autoSpaceDE/>
              <w:autoSpaceDN/>
              <w:bidi w:val="0"/>
              <w:adjustRightInd w:val="0"/>
              <w:snapToGrid w:val="0"/>
              <w:spacing w:after="0" w:line="500" w:lineRule="exact"/>
              <w:ind w:firstLine="48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监测因子：</w:t>
            </w:r>
            <w:r>
              <w:rPr>
                <w:rFonts w:hint="eastAsia" w:ascii="Times New Roman" w:hAnsi="Times New Roman" w:eastAsia="宋体" w:cs="Times New Roman"/>
                <w:color w:val="auto"/>
                <w:sz w:val="21"/>
                <w:szCs w:val="21"/>
              </w:rPr>
              <w:t>氮氧化物</w:t>
            </w:r>
            <w:r>
              <w:rPr>
                <w:rFonts w:ascii="Times New Roman" w:hAnsi="Times New Roman" w:eastAsia="宋体" w:cs="Times New Roman"/>
                <w:color w:val="auto"/>
                <w:sz w:val="21"/>
                <w:szCs w:val="21"/>
              </w:rPr>
              <w:t>、颗粒物、非甲烷总烃</w:t>
            </w:r>
            <w:r>
              <w:rPr>
                <w:rFonts w:hint="eastAsia" w:ascii="Times New Roman" w:hAnsi="Times New Roman" w:eastAsia="宋体" w:cs="Times New Roman"/>
                <w:color w:val="auto"/>
                <w:sz w:val="21"/>
                <w:szCs w:val="21"/>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480"/>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监测频次：2天，每天不少于 3个样品。</w:t>
            </w:r>
          </w:p>
          <w:p>
            <w:pPr>
              <w:keepNext w:val="0"/>
              <w:keepLines w:val="0"/>
              <w:pageBreakBefore w:val="0"/>
              <w:widowControl/>
              <w:kinsoku/>
              <w:wordWrap/>
              <w:overflowPunct/>
              <w:topLinePunct w:val="0"/>
              <w:autoSpaceDE/>
              <w:autoSpaceDN/>
              <w:bidi w:val="0"/>
              <w:adjustRightInd w:val="0"/>
              <w:snapToGrid w:val="0"/>
              <w:spacing w:after="0" w:line="500" w:lineRule="exact"/>
              <w:ind w:firstLine="48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监测日期：20</w:t>
            </w:r>
            <w:r>
              <w:rPr>
                <w:rFonts w:hint="eastAsia" w:ascii="Times New Roman" w:hAnsi="Times New Roman" w:eastAsia="宋体" w:cs="Times New Roman"/>
                <w:color w:val="auto"/>
                <w:sz w:val="21"/>
                <w:szCs w:val="21"/>
              </w:rPr>
              <w:t>22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月31</w:t>
            </w:r>
            <w:r>
              <w:rPr>
                <w:rFonts w:hint="eastAsia" w:ascii="Times New Roman" w:hAnsi="Times New Roman" w:eastAsia="宋体" w:cs="Times New Roman"/>
                <w:color w:val="auto"/>
                <w:sz w:val="21"/>
                <w:szCs w:val="21"/>
                <w:lang w:eastAsia="zh-Hans"/>
              </w:rPr>
              <w:t>日</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6</w:t>
            </w:r>
            <w:r>
              <w:rPr>
                <w:rFonts w:hint="eastAsia" w:ascii="Times New Roman" w:hAnsi="Times New Roman" w:eastAsia="宋体" w:cs="Times New Roman"/>
                <w:color w:val="auto"/>
                <w:sz w:val="21"/>
                <w:szCs w:val="21"/>
                <w:lang w:eastAsia="zh-Hans"/>
              </w:rPr>
              <w:t>月</w:t>
            </w:r>
            <w:r>
              <w:rPr>
                <w:rFonts w:ascii="Times New Roman" w:hAnsi="Times New Roman" w:eastAsia="宋体" w:cs="Times New Roman"/>
                <w:color w:val="auto"/>
                <w:sz w:val="21"/>
                <w:szCs w:val="21"/>
                <w:lang w:eastAsia="zh-Hans"/>
              </w:rPr>
              <w:t>1</w:t>
            </w:r>
            <w:r>
              <w:rPr>
                <w:rFonts w:hint="eastAsia" w:ascii="Times New Roman" w:hAnsi="Times New Roman" w:eastAsia="宋体" w:cs="Times New Roman"/>
                <w:color w:val="auto"/>
                <w:sz w:val="21"/>
                <w:szCs w:val="21"/>
                <w:lang w:eastAsia="zh-Hans"/>
              </w:rPr>
              <w:t>日</w:t>
            </w:r>
            <w:r>
              <w:rPr>
                <w:rFonts w:hint="eastAsia" w:ascii="Times New Roman" w:hAnsi="Times New Roman" w:eastAsia="宋体" w:cs="Times New Roman"/>
                <w:color w:val="auto"/>
                <w:sz w:val="21"/>
                <w:szCs w:val="21"/>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480"/>
              <w:textAlignment w:val="auto"/>
              <w:rPr>
                <w:rFonts w:hint="eastAsia" w:ascii="Times New Roman" w:hAnsi="Times New Roman" w:eastAsia="宋体" w:cs="Times New Roman"/>
                <w:color w:val="auto"/>
                <w:sz w:val="21"/>
                <w:szCs w:val="21"/>
                <w:lang w:eastAsia="zh-Hans"/>
              </w:rPr>
            </w:pPr>
            <w:r>
              <w:rPr>
                <w:rFonts w:ascii="Times New Roman" w:hAnsi="Times New Roman" w:eastAsia="宋体" w:cs="Times New Roman"/>
                <w:color w:val="auto"/>
                <w:sz w:val="21"/>
                <w:szCs w:val="21"/>
              </w:rPr>
              <w:t>监测点位：见图</w:t>
            </w: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1</w:t>
            </w:r>
            <w:r>
              <w:rPr>
                <w:rFonts w:hint="eastAsia" w:ascii="Times New Roman" w:hAnsi="Times New Roman" w:eastAsia="宋体" w:cs="Times New Roman"/>
                <w:color w:val="auto"/>
                <w:sz w:val="21"/>
                <w:szCs w:val="21"/>
                <w:lang w:eastAsia="zh-Hans"/>
              </w:rPr>
              <w:t>。</w:t>
            </w:r>
          </w:p>
          <w:p>
            <w:pPr>
              <w:pStyle w:val="2"/>
              <w:jc w:val="center"/>
              <w:rPr>
                <w:color w:val="auto"/>
              </w:rPr>
            </w:pPr>
            <w:r>
              <w:rPr>
                <w:color w:val="auto"/>
              </w:rPr>
              <w:drawing>
                <wp:inline distT="0" distB="0" distL="114300" distR="114300">
                  <wp:extent cx="3068320" cy="2792730"/>
                  <wp:effectExtent l="0" t="0" r="17780" b="762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26"/>
                          <a:stretch>
                            <a:fillRect/>
                          </a:stretch>
                        </pic:blipFill>
                        <pic:spPr>
                          <a:xfrm>
                            <a:off x="0" y="0"/>
                            <a:ext cx="3068320" cy="2792730"/>
                          </a:xfrm>
                          <a:prstGeom prst="rect">
                            <a:avLst/>
                          </a:prstGeom>
                          <a:noFill/>
                          <a:ln>
                            <a:noFill/>
                          </a:ln>
                        </pic:spPr>
                      </pic:pic>
                    </a:graphicData>
                  </a:graphic>
                </wp:inline>
              </w:drawing>
            </w:r>
          </w:p>
          <w:p>
            <w:pPr>
              <w:spacing w:after="0"/>
              <w:jc w:val="center"/>
              <w:rPr>
                <w:color w:val="auto"/>
                <w:sz w:val="21"/>
                <w:szCs w:val="21"/>
              </w:rPr>
            </w:pPr>
            <w:r>
              <w:rPr>
                <w:color w:val="auto"/>
              </w:rPr>
              <w:drawing>
                <wp:inline distT="0" distB="0" distL="0" distR="0">
                  <wp:extent cx="3543300" cy="2165985"/>
                  <wp:effectExtent l="12700" t="12700" r="25400" b="311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srcRect t="58075"/>
                          <a:stretch>
                            <a:fillRect/>
                          </a:stretch>
                        </pic:blipFill>
                        <pic:spPr>
                          <a:xfrm>
                            <a:off x="0" y="0"/>
                            <a:ext cx="3543300" cy="2165985"/>
                          </a:xfrm>
                          <a:prstGeom prst="rect">
                            <a:avLst/>
                          </a:prstGeom>
                          <a:ln w="12700" cmpd="thickThin">
                            <a:solidFill>
                              <a:schemeClr val="tx1"/>
                            </a:solidFill>
                          </a:ln>
                        </pic:spPr>
                      </pic:pic>
                    </a:graphicData>
                  </a:graphic>
                </wp:inline>
              </w:drawing>
            </w:r>
          </w:p>
          <w:p>
            <w:pPr>
              <w:spacing w:after="0" w:line="520" w:lineRule="exact"/>
              <w:jc w:val="center"/>
              <w:rPr>
                <w:color w:val="auto"/>
                <w:sz w:val="21"/>
                <w:szCs w:val="21"/>
              </w:rPr>
            </w:pPr>
            <w:r>
              <w:rPr>
                <w:rFonts w:hint="eastAsia" w:ascii="Times New Roman" w:hAnsi="Times New Roman" w:eastAsia="黑体" w:cs="Times New Roman"/>
                <w:color w:val="auto"/>
                <w:kern w:val="2"/>
                <w:sz w:val="21"/>
                <w:szCs w:val="21"/>
              </w:rPr>
              <w:t>图6-</w:t>
            </w:r>
            <w:r>
              <w:rPr>
                <w:rFonts w:ascii="Times New Roman" w:hAnsi="Times New Roman" w:eastAsia="黑体" w:cs="Times New Roman"/>
                <w:color w:val="auto"/>
                <w:kern w:val="2"/>
                <w:sz w:val="21"/>
                <w:szCs w:val="21"/>
              </w:rPr>
              <w:t>1</w:t>
            </w:r>
            <w:r>
              <w:rPr>
                <w:rFonts w:hint="eastAsia" w:ascii="Times New Roman" w:hAnsi="Times New Roman" w:eastAsia="黑体" w:cs="Times New Roman"/>
                <w:color w:val="auto"/>
                <w:kern w:val="2"/>
                <w:sz w:val="21"/>
                <w:szCs w:val="21"/>
              </w:rPr>
              <w:t xml:space="preserve"> </w:t>
            </w:r>
            <w:r>
              <w:rPr>
                <w:rFonts w:hint="eastAsia" w:ascii="Times New Roman" w:hAnsi="Times New Roman" w:eastAsia="黑体" w:cs="Times New Roman"/>
                <w:color w:val="auto"/>
                <w:kern w:val="2"/>
                <w:sz w:val="21"/>
                <w:szCs w:val="21"/>
                <w:lang w:eastAsia="zh-Hans"/>
              </w:rPr>
              <w:t>废气采样</w:t>
            </w:r>
            <w:r>
              <w:rPr>
                <w:rFonts w:hint="eastAsia" w:ascii="Times New Roman" w:hAnsi="Times New Roman" w:eastAsia="黑体" w:cs="Times New Roman"/>
                <w:color w:val="auto"/>
                <w:kern w:val="2"/>
                <w:sz w:val="21"/>
                <w:szCs w:val="21"/>
              </w:rPr>
              <w:t>监测点位图</w:t>
            </w:r>
          </w:p>
          <w:p>
            <w:pPr>
              <w:spacing w:after="0" w:line="520" w:lineRule="exact"/>
              <w:rPr>
                <w:rFonts w:ascii="Times New Roman" w:hAnsi="Times New Roman" w:eastAsia="宋体" w:cs="Times New Roman"/>
                <w:color w:val="auto"/>
                <w:sz w:val="21"/>
                <w:szCs w:val="21"/>
              </w:rPr>
            </w:pPr>
            <w:bookmarkStart w:id="8" w:name="_Toc536516962"/>
            <w:r>
              <w:rPr>
                <w:rFonts w:hint="eastAsia" w:ascii="Times New Roman" w:hAnsi="Times New Roman" w:eastAsia="黑体" w:cs="Times New Roman"/>
                <w:color w:val="auto"/>
                <w:sz w:val="21"/>
                <w:szCs w:val="21"/>
              </w:rPr>
              <w:t>2. 噪声</w:t>
            </w:r>
            <w:bookmarkEnd w:id="8"/>
          </w:p>
          <w:p>
            <w:pPr>
              <w:spacing w:after="0" w:line="5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监测点位：设置</w:t>
            </w:r>
            <w:r>
              <w:rPr>
                <w:rFonts w:ascii="Times New Roman" w:hAnsi="Times New Roman" w:eastAsia="宋体" w:cs="Times New Roman"/>
                <w:color w:val="auto"/>
                <w:sz w:val="21"/>
                <w:szCs w:val="21"/>
              </w:rPr>
              <w:t>4</w:t>
            </w:r>
            <w:r>
              <w:rPr>
                <w:rFonts w:hint="eastAsia" w:ascii="Times New Roman" w:hAnsi="Times New Roman" w:eastAsia="宋体" w:cs="Times New Roman"/>
                <w:color w:val="auto"/>
                <w:sz w:val="21"/>
                <w:szCs w:val="21"/>
              </w:rPr>
              <w:t>个厂界噪声监测点，</w:t>
            </w:r>
            <w:r>
              <w:rPr>
                <w:rFonts w:ascii="Times New Roman" w:hAnsi="Times New Roman" w:eastAsia="宋体" w:cs="Times New Roman"/>
                <w:color w:val="auto"/>
                <w:sz w:val="21"/>
                <w:szCs w:val="21"/>
              </w:rPr>
              <w:t>见图</w:t>
            </w: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w:t>
            </w:r>
            <w:r>
              <w:rPr>
                <w:rFonts w:hint="eastAsia" w:ascii="Times New Roman" w:hAnsi="Times New Roman" w:eastAsia="宋体" w:cs="Times New Roman"/>
                <w:color w:val="auto"/>
                <w:sz w:val="21"/>
                <w:szCs w:val="21"/>
              </w:rPr>
              <w:t>。</w:t>
            </w:r>
          </w:p>
          <w:p>
            <w:pPr>
              <w:spacing w:after="0" w:line="5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监测日期：</w:t>
            </w:r>
            <w:r>
              <w:rPr>
                <w:rFonts w:ascii="Times New Roman" w:hAnsi="Times New Roman" w:eastAsia="宋体" w:cs="Times New Roman"/>
                <w:color w:val="auto"/>
                <w:sz w:val="21"/>
                <w:szCs w:val="21"/>
              </w:rPr>
              <w:t>20</w:t>
            </w:r>
            <w:r>
              <w:rPr>
                <w:rFonts w:hint="eastAsia" w:ascii="Times New Roman" w:hAnsi="Times New Roman" w:eastAsia="宋体" w:cs="Times New Roman"/>
                <w:color w:val="auto"/>
                <w:sz w:val="21"/>
                <w:szCs w:val="21"/>
              </w:rPr>
              <w:t>22</w:t>
            </w:r>
            <w:r>
              <w:rPr>
                <w:rFonts w:ascii="Times New Roman" w:hAnsi="Times New Roman" w:eastAsia="宋体" w:cs="Times New Roman"/>
                <w:color w:val="auto"/>
                <w:sz w:val="21"/>
                <w:szCs w:val="21"/>
              </w:rPr>
              <w:t>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月31</w:t>
            </w:r>
            <w:r>
              <w:rPr>
                <w:rFonts w:hint="eastAsia" w:ascii="Times New Roman" w:hAnsi="Times New Roman" w:eastAsia="宋体" w:cs="Times New Roman"/>
                <w:color w:val="auto"/>
                <w:sz w:val="21"/>
                <w:szCs w:val="21"/>
                <w:lang w:eastAsia="zh-Hans"/>
              </w:rPr>
              <w:t>日</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6</w:t>
            </w:r>
            <w:r>
              <w:rPr>
                <w:rFonts w:hint="eastAsia" w:ascii="Times New Roman" w:hAnsi="Times New Roman" w:eastAsia="宋体" w:cs="Times New Roman"/>
                <w:color w:val="auto"/>
                <w:sz w:val="21"/>
                <w:szCs w:val="21"/>
                <w:lang w:eastAsia="zh-Hans"/>
              </w:rPr>
              <w:t>月</w:t>
            </w:r>
            <w:r>
              <w:rPr>
                <w:rFonts w:ascii="Times New Roman" w:hAnsi="Times New Roman" w:eastAsia="宋体" w:cs="Times New Roman"/>
                <w:color w:val="auto"/>
                <w:sz w:val="21"/>
                <w:szCs w:val="21"/>
                <w:lang w:eastAsia="zh-Hans"/>
              </w:rPr>
              <w:t>1</w:t>
            </w:r>
            <w:r>
              <w:rPr>
                <w:rFonts w:hint="eastAsia" w:ascii="Times New Roman" w:hAnsi="Times New Roman" w:eastAsia="宋体" w:cs="Times New Roman"/>
                <w:color w:val="auto"/>
                <w:sz w:val="21"/>
                <w:szCs w:val="21"/>
                <w:lang w:eastAsia="zh-Hans"/>
              </w:rPr>
              <w:t>日</w:t>
            </w:r>
            <w:r>
              <w:rPr>
                <w:rFonts w:hint="eastAsia" w:ascii="Times New Roman" w:hAnsi="Times New Roman" w:eastAsia="宋体" w:cs="Times New Roman"/>
                <w:color w:val="auto"/>
                <w:sz w:val="21"/>
                <w:szCs w:val="21"/>
              </w:rPr>
              <w:t>。</w:t>
            </w:r>
          </w:p>
          <w:p>
            <w:pPr>
              <w:spacing w:after="0" w:line="560" w:lineRule="exact"/>
              <w:ind w:firstLine="420" w:firstLineChars="200"/>
              <w:rPr>
                <w:rFonts w:cs="Times New Roman"/>
                <w:color w:val="auto"/>
                <w:sz w:val="21"/>
                <w:szCs w:val="21"/>
              </w:rPr>
            </w:pPr>
            <w:r>
              <w:rPr>
                <w:rFonts w:hint="eastAsia" w:ascii="Times New Roman" w:hAnsi="Times New Roman" w:eastAsia="宋体" w:cs="Times New Roman"/>
                <w:color w:val="auto"/>
                <w:sz w:val="21"/>
                <w:szCs w:val="21"/>
              </w:rPr>
              <w:t>监测频次：2天，每天昼间各1次。</w:t>
            </w: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r>
              <w:rPr>
                <w:color w:val="auto"/>
              </w:rPr>
              <w:drawing>
                <wp:inline distT="0" distB="0" distL="114300" distR="114300">
                  <wp:extent cx="3695700" cy="3371850"/>
                  <wp:effectExtent l="0" t="0" r="0" b="0"/>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28"/>
                          <a:stretch>
                            <a:fillRect/>
                          </a:stretch>
                        </pic:blipFill>
                        <pic:spPr>
                          <a:xfrm>
                            <a:off x="0" y="0"/>
                            <a:ext cx="3695700" cy="3371850"/>
                          </a:xfrm>
                          <a:prstGeom prst="rect">
                            <a:avLst/>
                          </a:prstGeom>
                          <a:noFill/>
                          <a:ln>
                            <a:noFill/>
                          </a:ln>
                        </pic:spPr>
                      </pic:pic>
                    </a:graphicData>
                  </a:graphic>
                </wp:inline>
              </w:drawing>
            </w: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r>
              <w:rPr>
                <w:rFonts w:hint="eastAsia" w:ascii="Times New Roman" w:hAnsi="Times New Roman" w:eastAsia="黑体" w:cs="Times New Roman"/>
                <w:color w:val="auto"/>
                <w:kern w:val="2"/>
                <w:sz w:val="21"/>
                <w:szCs w:val="21"/>
              </w:rPr>
              <w:t>图6-</w:t>
            </w:r>
            <w:r>
              <w:rPr>
                <w:rFonts w:ascii="Times New Roman" w:hAnsi="Times New Roman" w:eastAsia="黑体" w:cs="Times New Roman"/>
                <w:color w:val="auto"/>
                <w:kern w:val="2"/>
                <w:sz w:val="21"/>
                <w:szCs w:val="21"/>
              </w:rPr>
              <w:t>2</w:t>
            </w:r>
            <w:r>
              <w:rPr>
                <w:rFonts w:hint="eastAsia" w:ascii="Times New Roman" w:hAnsi="Times New Roman" w:eastAsia="黑体" w:cs="Times New Roman"/>
                <w:color w:val="auto"/>
                <w:kern w:val="2"/>
                <w:sz w:val="21"/>
                <w:szCs w:val="21"/>
              </w:rPr>
              <w:t xml:space="preserve"> 厂界噪声监测点位图</w:t>
            </w: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center"/>
              <w:rPr>
                <w:rFonts w:ascii="Times New Roman" w:hAnsi="Times New Roman" w:eastAsia="黑体" w:cs="Times New Roman"/>
                <w:color w:val="auto"/>
                <w:kern w:val="2"/>
                <w:sz w:val="21"/>
                <w:szCs w:val="21"/>
              </w:rPr>
            </w:pPr>
          </w:p>
          <w:p>
            <w:pPr>
              <w:spacing w:after="0"/>
              <w:jc w:val="both"/>
              <w:rPr>
                <w:rFonts w:ascii="Times New Roman" w:hAnsi="Times New Roman" w:eastAsia="黑体" w:cs="Times New Roman"/>
                <w:color w:val="auto"/>
                <w:kern w:val="2"/>
                <w:sz w:val="21"/>
                <w:szCs w:val="21"/>
              </w:rPr>
            </w:pPr>
          </w:p>
        </w:tc>
      </w:tr>
    </w:tbl>
    <w:p>
      <w:pPr>
        <w:spacing w:after="0" w:line="360" w:lineRule="auto"/>
        <w:rPr>
          <w:rFonts w:eastAsia="仿宋_GB2312"/>
          <w:b/>
          <w:color w:val="auto"/>
          <w:sz w:val="21"/>
          <w:szCs w:val="21"/>
        </w:rPr>
        <w:sectPr>
          <w:pgSz w:w="11906" w:h="16838"/>
          <w:pgMar w:top="1440" w:right="1800" w:bottom="1440" w:left="1800" w:header="708" w:footer="708" w:gutter="0"/>
          <w:cols w:space="720" w:num="1"/>
          <w:docGrid w:linePitch="360" w:charSpace="0"/>
        </w:sectPr>
      </w:pPr>
    </w:p>
    <w:p>
      <w:pPr>
        <w:spacing w:after="0" w:line="360" w:lineRule="auto"/>
        <w:outlineLvl w:val="0"/>
        <w:rPr>
          <w:rFonts w:eastAsia="仿宋_GB2312"/>
          <w:b/>
          <w:color w:val="auto"/>
          <w:sz w:val="21"/>
          <w:szCs w:val="21"/>
        </w:rPr>
      </w:pPr>
      <w:r>
        <w:rPr>
          <w:rFonts w:eastAsia="仿宋_GB2312"/>
          <w:b/>
          <w:color w:val="auto"/>
          <w:sz w:val="21"/>
          <w:szCs w:val="21"/>
        </w:rPr>
        <w:t>表</w:t>
      </w:r>
      <w:r>
        <w:rPr>
          <w:rFonts w:hint="eastAsia" w:eastAsia="仿宋_GB2312"/>
          <w:b/>
          <w:color w:val="auto"/>
          <w:sz w:val="21"/>
          <w:szCs w:val="21"/>
        </w:rPr>
        <w:t>七</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924" w:type="dxa"/>
          </w:tcPr>
          <w:p>
            <w:pPr>
              <w:spacing w:after="0" w:line="500" w:lineRule="exact"/>
              <w:rPr>
                <w:rFonts w:ascii="宋体" w:hAnsi="宋体" w:eastAsia="宋体"/>
                <w:color w:val="auto"/>
                <w:sz w:val="21"/>
                <w:szCs w:val="21"/>
              </w:rPr>
            </w:pPr>
            <w:r>
              <w:rPr>
                <w:rFonts w:hint="eastAsia" w:ascii="宋体" w:hAnsi="宋体" w:eastAsia="宋体"/>
                <w:color w:val="auto"/>
                <w:sz w:val="21"/>
                <w:szCs w:val="21"/>
              </w:rPr>
              <w:t>验收监测期间生产工况记录：</w:t>
            </w:r>
          </w:p>
          <w:p>
            <w:pPr>
              <w:spacing w:after="0" w:line="50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验收期间康明斯公司发动机热试</w:t>
            </w:r>
            <w:r>
              <w:rPr>
                <w:rFonts w:hint="eastAsia" w:ascii="Times New Roman" w:hAnsi="Times New Roman" w:eastAsia="宋体" w:cs="Times New Roman"/>
                <w:color w:val="auto"/>
                <w:sz w:val="21"/>
                <w:szCs w:val="21"/>
                <w:lang w:eastAsia="zh-Hans"/>
              </w:rPr>
              <w:t>测试</w:t>
            </w:r>
            <w:r>
              <w:rPr>
                <w:rFonts w:hint="eastAsia" w:ascii="Times New Roman" w:hAnsi="Times New Roman" w:eastAsia="宋体" w:cs="Times New Roman"/>
                <w:color w:val="auto"/>
                <w:sz w:val="21"/>
                <w:szCs w:val="21"/>
              </w:rPr>
              <w:t>设备及配套的尾气净化设施正常开启，运转正常，监测时间：2022年5月31</w:t>
            </w:r>
            <w:r>
              <w:rPr>
                <w:rFonts w:hint="eastAsia" w:ascii="Times New Roman" w:hAnsi="Times New Roman" w:eastAsia="宋体" w:cs="Times New Roman"/>
                <w:color w:val="auto"/>
                <w:sz w:val="21"/>
                <w:szCs w:val="21"/>
                <w:lang w:eastAsia="zh-Hans"/>
              </w:rPr>
              <w:t>日</w:t>
            </w:r>
            <w:r>
              <w:rPr>
                <w:rFonts w:hint="eastAsia" w:ascii="Times New Roman" w:hAnsi="Times New Roman" w:eastAsia="宋体" w:cs="Times New Roman"/>
                <w:color w:val="auto"/>
                <w:sz w:val="21"/>
                <w:szCs w:val="21"/>
              </w:rPr>
              <w:t>、6</w:t>
            </w:r>
            <w:r>
              <w:rPr>
                <w:rFonts w:hint="eastAsia" w:ascii="Times New Roman" w:hAnsi="Times New Roman" w:eastAsia="宋体" w:cs="Times New Roman"/>
                <w:color w:val="auto"/>
                <w:sz w:val="21"/>
                <w:szCs w:val="21"/>
                <w:lang w:eastAsia="zh-Hans"/>
              </w:rPr>
              <w:t>月1日</w:t>
            </w:r>
            <w:r>
              <w:rPr>
                <w:rFonts w:hint="eastAsia" w:ascii="Times New Roman" w:hAnsi="Times New Roman" w:eastAsia="宋体" w:cs="Times New Roman"/>
                <w:color w:val="auto"/>
                <w:sz w:val="21"/>
                <w:szCs w:val="21"/>
              </w:rPr>
              <w:t>，监测期间工况为</w:t>
            </w:r>
            <w:r>
              <w:rPr>
                <w:rFonts w:hint="eastAsia" w:ascii="Times New Roman" w:hAnsi="Times New Roman" w:eastAsia="宋体" w:cs="Times New Roman"/>
                <w:color w:val="auto"/>
                <w:sz w:val="21"/>
                <w:szCs w:val="21"/>
                <w:lang w:eastAsia="zh-Hans"/>
              </w:rPr>
              <w:t>天然气发动机</w:t>
            </w:r>
            <w:r>
              <w:rPr>
                <w:rFonts w:hint="eastAsia" w:ascii="Times New Roman" w:hAnsi="Times New Roman" w:eastAsia="宋体" w:cs="Times New Roman"/>
                <w:color w:val="auto"/>
                <w:sz w:val="21"/>
                <w:szCs w:val="21"/>
              </w:rPr>
              <w:t>热试的</w:t>
            </w:r>
            <w:r>
              <w:rPr>
                <w:rFonts w:hint="eastAsia" w:ascii="Times New Roman" w:hAnsi="Times New Roman" w:eastAsia="宋体" w:cs="Times New Roman"/>
                <w:color w:val="auto"/>
                <w:sz w:val="21"/>
                <w:szCs w:val="21"/>
                <w:lang w:eastAsia="zh-Hans"/>
              </w:rPr>
              <w:t>测试</w:t>
            </w:r>
            <w:r>
              <w:rPr>
                <w:rFonts w:hint="eastAsia" w:ascii="Times New Roman" w:hAnsi="Times New Roman" w:eastAsia="宋体" w:cs="Times New Roman"/>
                <w:color w:val="auto"/>
                <w:sz w:val="21"/>
                <w:szCs w:val="21"/>
              </w:rPr>
              <w:t>数量为25</w:t>
            </w:r>
            <w:r>
              <w:rPr>
                <w:rFonts w:hint="eastAsia" w:ascii="Times New Roman" w:hAnsi="Times New Roman" w:eastAsia="宋体" w:cs="Times New Roman"/>
                <w:color w:val="auto"/>
                <w:sz w:val="21"/>
                <w:szCs w:val="21"/>
                <w:lang w:eastAsia="zh-Hans"/>
              </w:rPr>
              <w:t>台/天</w:t>
            </w:r>
            <w:r>
              <w:rPr>
                <w:rFonts w:hint="eastAsia" w:ascii="Times New Roman" w:hAnsi="Times New Roman" w:eastAsia="宋体" w:cs="Times New Roman"/>
                <w:color w:val="auto"/>
                <w:sz w:val="21"/>
                <w:szCs w:val="21"/>
              </w:rPr>
              <w:t>，生产负荷为86.5%。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4" w:type="dxa"/>
          </w:tcPr>
          <w:p>
            <w:pPr>
              <w:spacing w:after="0"/>
              <w:rPr>
                <w:rFonts w:ascii="宋体" w:hAnsi="宋体" w:eastAsia="宋体"/>
                <w:color w:val="auto"/>
                <w:sz w:val="21"/>
                <w:szCs w:val="21"/>
              </w:rPr>
            </w:pPr>
            <w:r>
              <w:rPr>
                <w:rFonts w:hint="eastAsia" w:ascii="宋体" w:hAnsi="宋体" w:eastAsia="宋体"/>
                <w:color w:val="auto"/>
                <w:sz w:val="21"/>
                <w:szCs w:val="21"/>
              </w:rPr>
              <w:t>验收监测结果：</w:t>
            </w:r>
          </w:p>
          <w:p>
            <w:pPr>
              <w:spacing w:after="0" w:line="460" w:lineRule="exact"/>
              <w:rPr>
                <w:rFonts w:ascii="Times New Roman" w:hAnsi="Times New Roman" w:eastAsia="宋体" w:cs="Times New Roman"/>
                <w:color w:val="auto"/>
                <w:sz w:val="21"/>
                <w:szCs w:val="21"/>
              </w:rPr>
            </w:pPr>
            <w:r>
              <w:rPr>
                <w:rFonts w:hint="eastAsia" w:ascii="Times New Roman" w:hAnsi="Times New Roman" w:eastAsia="黑体" w:cs="Times New Roman"/>
                <w:color w:val="auto"/>
                <w:sz w:val="21"/>
                <w:szCs w:val="21"/>
              </w:rPr>
              <w:t>1</w:t>
            </w:r>
            <w:r>
              <w:rPr>
                <w:rFonts w:ascii="Times New Roman" w:hAnsi="Times New Roman" w:eastAsia="黑体" w:cs="Times New Roman"/>
                <w:color w:val="auto"/>
                <w:sz w:val="21"/>
                <w:szCs w:val="21"/>
              </w:rPr>
              <w:t>. 废气</w:t>
            </w:r>
          </w:p>
          <w:p>
            <w:pPr>
              <w:spacing w:after="0" w:line="4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2022年5月</w:t>
            </w:r>
            <w:r>
              <w:rPr>
                <w:rFonts w:ascii="Times New Roman" w:hAnsi="Times New Roman" w:eastAsia="宋体" w:cs="Times New Roman"/>
                <w:color w:val="auto"/>
                <w:sz w:val="21"/>
                <w:szCs w:val="21"/>
              </w:rPr>
              <w:t>31</w:t>
            </w:r>
            <w:r>
              <w:rPr>
                <w:rFonts w:hint="eastAsia" w:ascii="Times New Roman" w:hAnsi="Times New Roman" w:eastAsia="宋体" w:cs="Times New Roman"/>
                <w:color w:val="auto"/>
                <w:sz w:val="21"/>
                <w:szCs w:val="21"/>
              </w:rPr>
              <w:t>日、</w:t>
            </w:r>
            <w:r>
              <w:rPr>
                <w:rFonts w:ascii="Times New Roman" w:hAnsi="Times New Roman" w:eastAsia="宋体" w:cs="Times New Roman"/>
                <w:color w:val="auto"/>
                <w:sz w:val="21"/>
                <w:szCs w:val="21"/>
              </w:rPr>
              <w:t>6</w:t>
            </w:r>
            <w:r>
              <w:rPr>
                <w:rFonts w:hint="eastAsia" w:ascii="Times New Roman" w:hAnsi="Times New Roman" w:eastAsia="宋体" w:cs="Times New Roman"/>
                <w:color w:val="auto"/>
                <w:sz w:val="21"/>
                <w:szCs w:val="21"/>
                <w:lang w:eastAsia="zh-Hans"/>
              </w:rPr>
              <w:t>月</w:t>
            </w:r>
            <w:r>
              <w:rPr>
                <w:rFonts w:ascii="Times New Roman" w:hAnsi="Times New Roman" w:eastAsia="宋体" w:cs="Times New Roman"/>
                <w:color w:val="auto"/>
                <w:sz w:val="21"/>
                <w:szCs w:val="21"/>
              </w:rPr>
              <w:t>1</w:t>
            </w:r>
            <w:r>
              <w:rPr>
                <w:rFonts w:hint="eastAsia" w:ascii="Times New Roman" w:hAnsi="Times New Roman" w:eastAsia="宋体" w:cs="Times New Roman"/>
                <w:color w:val="auto"/>
                <w:sz w:val="21"/>
                <w:szCs w:val="21"/>
              </w:rPr>
              <w:t>日监测单位对</w:t>
            </w:r>
            <w:r>
              <w:rPr>
                <w:rFonts w:hint="eastAsia" w:ascii="Times New Roman" w:hAnsi="Times New Roman" w:eastAsia="宋体" w:cs="Times New Roman"/>
                <w:color w:val="auto"/>
                <w:sz w:val="21"/>
                <w:szCs w:val="21"/>
                <w:lang w:eastAsia="zh-Hans"/>
              </w:rPr>
              <w:t>天然气发动机热试车间外排废气</w:t>
            </w:r>
            <w:r>
              <w:rPr>
                <w:rFonts w:hint="eastAsia" w:ascii="Times New Roman" w:hAnsi="Times New Roman" w:eastAsia="宋体" w:cs="Times New Roman"/>
                <w:color w:val="auto"/>
                <w:sz w:val="21"/>
                <w:szCs w:val="21"/>
              </w:rPr>
              <w:t>进行了监测</w:t>
            </w:r>
            <w:r>
              <w:rPr>
                <w:rFonts w:hint="eastAsia" w:ascii="Times New Roman" w:hAnsi="Times New Roman" w:eastAsia="宋体" w:cs="Times New Roman"/>
                <w:color w:val="auto"/>
                <w:sz w:val="21"/>
                <w:szCs w:val="21"/>
                <w:lang w:eastAsia="zh-Hans"/>
              </w:rPr>
              <w:t>，</w:t>
            </w:r>
            <w:r>
              <w:rPr>
                <w:rFonts w:ascii="Times New Roman" w:hAnsi="Times New Roman" w:eastAsia="宋体" w:cs="Times New Roman"/>
                <w:color w:val="auto"/>
                <w:sz w:val="21"/>
                <w:szCs w:val="21"/>
              </w:rPr>
              <w:t>根据中冶检测认证有限公司出具的检测报告（报告编号：</w:t>
            </w:r>
            <w:r>
              <w:rPr>
                <w:rFonts w:hint="eastAsia" w:ascii="Times New Roman" w:hAnsi="Times New Roman" w:eastAsia="宋体" w:cs="Times New Roman"/>
                <w:color w:val="auto"/>
                <w:sz w:val="21"/>
                <w:szCs w:val="21"/>
              </w:rPr>
              <w:t>ZYJC-HJ-JC-T-2022-2121</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eastAsia="zh-Hans"/>
              </w:rPr>
              <w:t>废气</w:t>
            </w:r>
            <w:r>
              <w:rPr>
                <w:rFonts w:hint="eastAsia" w:ascii="Times New Roman" w:hAnsi="Times New Roman" w:eastAsia="宋体" w:cs="Times New Roman"/>
                <w:color w:val="auto"/>
                <w:sz w:val="21"/>
                <w:szCs w:val="21"/>
              </w:rPr>
              <w:t>监测</w:t>
            </w:r>
            <w:r>
              <w:rPr>
                <w:rFonts w:hint="eastAsia" w:ascii="Times New Roman" w:hAnsi="Times New Roman" w:eastAsia="宋体" w:cs="Times New Roman"/>
                <w:color w:val="auto"/>
                <w:sz w:val="21"/>
                <w:szCs w:val="21"/>
                <w:lang w:eastAsia="zh-Hans"/>
              </w:rPr>
              <w:t>点位见图</w:t>
            </w:r>
            <w:r>
              <w:rPr>
                <w:rFonts w:ascii="Times New Roman" w:hAnsi="Times New Roman" w:eastAsia="宋体" w:cs="Times New Roman"/>
                <w:color w:val="auto"/>
                <w:sz w:val="21"/>
                <w:szCs w:val="21"/>
                <w:lang w:eastAsia="zh-Hans"/>
              </w:rPr>
              <w:t>6-1</w:t>
            </w:r>
            <w:r>
              <w:rPr>
                <w:rFonts w:hint="eastAsia" w:ascii="Times New Roman" w:hAnsi="Times New Roman" w:eastAsia="宋体" w:cs="Times New Roman"/>
                <w:color w:val="auto"/>
                <w:sz w:val="21"/>
                <w:szCs w:val="21"/>
                <w:lang w:eastAsia="zh-Hans"/>
              </w:rPr>
              <w:t>，监测</w:t>
            </w:r>
            <w:r>
              <w:rPr>
                <w:rFonts w:hint="eastAsia" w:ascii="Times New Roman" w:hAnsi="Times New Roman" w:eastAsia="宋体" w:cs="Times New Roman"/>
                <w:color w:val="auto"/>
                <w:sz w:val="21"/>
                <w:szCs w:val="21"/>
              </w:rPr>
              <w:t>结果见表7-</w:t>
            </w:r>
            <w:r>
              <w:rPr>
                <w:rFonts w:ascii="Times New Roman" w:hAnsi="Times New Roman" w:eastAsia="宋体" w:cs="Times New Roman"/>
                <w:color w:val="auto"/>
                <w:sz w:val="21"/>
                <w:szCs w:val="21"/>
              </w:rPr>
              <w:t>1</w:t>
            </w:r>
            <w:r>
              <w:rPr>
                <w:rFonts w:hint="eastAsia" w:ascii="Times New Roman" w:hAnsi="Times New Roman" w:eastAsia="宋体" w:cs="Times New Roman"/>
                <w:color w:val="auto"/>
                <w:sz w:val="21"/>
                <w:szCs w:val="21"/>
              </w:rPr>
              <w:t>。</w:t>
            </w:r>
          </w:p>
          <w:p>
            <w:pPr>
              <w:spacing w:after="0"/>
              <w:jc w:val="both"/>
              <w:rPr>
                <w:rFonts w:ascii="Times New Roman" w:hAnsi="Times New Roman" w:eastAsia="黑体" w:cs="Times New Roman"/>
                <w:color w:val="auto"/>
                <w:sz w:val="21"/>
                <w:szCs w:val="21"/>
              </w:rPr>
            </w:pPr>
          </w:p>
          <w:p>
            <w:pPr>
              <w:spacing w:after="0" w:line="0" w:lineRule="atLeast"/>
              <w:jc w:val="center"/>
              <w:rPr>
                <w:color w:val="auto"/>
                <w:sz w:val="18"/>
                <w:szCs w:val="18"/>
              </w:rPr>
            </w:pPr>
            <w:r>
              <w:rPr>
                <w:rFonts w:ascii="Times New Roman" w:hAnsi="Times New Roman" w:eastAsia="黑体" w:cs="Times New Roman"/>
                <w:color w:val="auto"/>
                <w:sz w:val="21"/>
                <w:szCs w:val="21"/>
              </w:rPr>
              <w:t>表7-1 废气监测结果</w:t>
            </w:r>
          </w:p>
          <w:tbl>
            <w:tblPr>
              <w:tblStyle w:val="18"/>
              <w:tblW w:w="851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23"/>
              <w:gridCol w:w="839"/>
              <w:gridCol w:w="1198"/>
              <w:gridCol w:w="676"/>
              <w:gridCol w:w="837"/>
              <w:gridCol w:w="994"/>
              <w:gridCol w:w="1015"/>
              <w:gridCol w:w="937"/>
              <w:gridCol w:w="729"/>
              <w:gridCol w:w="66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1" w:hRule="atLeast"/>
                <w:jc w:val="center"/>
              </w:trPr>
              <w:tc>
                <w:tcPr>
                  <w:tcW w:w="623" w:type="dxa"/>
                  <w:vMerge w:val="restart"/>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监测</w:t>
                  </w:r>
                </w:p>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color w:val="auto"/>
                      <w:sz w:val="18"/>
                      <w:szCs w:val="18"/>
                    </w:rPr>
                    <w:t>时间</w:t>
                  </w:r>
                </w:p>
              </w:tc>
              <w:tc>
                <w:tcPr>
                  <w:tcW w:w="839" w:type="dxa"/>
                  <w:vMerge w:val="restart"/>
                  <w:vAlign w:val="center"/>
                </w:tcPr>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bCs/>
                      <w:color w:val="auto"/>
                      <w:sz w:val="18"/>
                      <w:szCs w:val="18"/>
                    </w:rPr>
                    <w:t>监测</w:t>
                  </w:r>
                </w:p>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bCs/>
                      <w:color w:val="auto"/>
                      <w:sz w:val="18"/>
                      <w:szCs w:val="18"/>
                    </w:rPr>
                    <w:t>点位</w:t>
                  </w:r>
                </w:p>
              </w:tc>
              <w:tc>
                <w:tcPr>
                  <w:tcW w:w="1874" w:type="dxa"/>
                  <w:gridSpan w:val="2"/>
                  <w:vMerge w:val="restart"/>
                  <w:vAlign w:val="center"/>
                </w:tcPr>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color w:val="auto"/>
                      <w:sz w:val="18"/>
                      <w:szCs w:val="18"/>
                    </w:rPr>
                    <w:t>检测项目</w:t>
                  </w:r>
                </w:p>
              </w:tc>
              <w:tc>
                <w:tcPr>
                  <w:tcW w:w="3783" w:type="dxa"/>
                  <w:gridSpan w:val="4"/>
                  <w:vAlign w:val="center"/>
                </w:tcPr>
                <w:p>
                  <w:pPr>
                    <w:spacing w:after="0"/>
                    <w:jc w:val="center"/>
                    <w:rPr>
                      <w:rFonts w:ascii="Times New Roman" w:hAnsi="Times New Roman" w:cs="Times New Roman" w:eastAsiaTheme="minorEastAsia"/>
                      <w:bCs/>
                      <w:color w:val="auto"/>
                      <w:sz w:val="18"/>
                      <w:szCs w:val="18"/>
                    </w:rPr>
                  </w:pPr>
                  <w:r>
                    <w:rPr>
                      <w:rFonts w:hint="eastAsia" w:ascii="Times New Roman" w:hAnsi="Times New Roman" w:cs="Times New Roman" w:eastAsiaTheme="minorEastAsia"/>
                      <w:color w:val="auto"/>
                      <w:sz w:val="18"/>
                      <w:szCs w:val="18"/>
                      <w:lang w:eastAsia="zh-Hans"/>
                    </w:rPr>
                    <w:t>项目</w:t>
                  </w:r>
                </w:p>
              </w:tc>
              <w:tc>
                <w:tcPr>
                  <w:tcW w:w="729" w:type="dxa"/>
                  <w:vMerge w:val="restart"/>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排放</w:t>
                  </w:r>
                </w:p>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color w:val="auto"/>
                      <w:sz w:val="18"/>
                      <w:szCs w:val="18"/>
                    </w:rPr>
                    <w:t>限值</w:t>
                  </w:r>
                </w:p>
              </w:tc>
              <w:tc>
                <w:tcPr>
                  <w:tcW w:w="667" w:type="dxa"/>
                  <w:vMerge w:val="restart"/>
                  <w:vAlign w:val="center"/>
                </w:tcPr>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bCs/>
                      <w:color w:val="auto"/>
                      <w:sz w:val="18"/>
                      <w:szCs w:val="18"/>
                    </w:rPr>
                    <w:t>达标</w:t>
                  </w:r>
                </w:p>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bCs/>
                      <w:color w:val="auto"/>
                      <w:sz w:val="18"/>
                      <w:szCs w:val="18"/>
                    </w:rPr>
                    <w:t>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bCs/>
                      <w:color w:val="auto"/>
                      <w:sz w:val="18"/>
                      <w:szCs w:val="18"/>
                    </w:rPr>
                  </w:pPr>
                </w:p>
              </w:tc>
              <w:tc>
                <w:tcPr>
                  <w:tcW w:w="1874" w:type="dxa"/>
                  <w:gridSpan w:val="2"/>
                  <w:vMerge w:val="continue"/>
                  <w:vAlign w:val="center"/>
                </w:tcPr>
                <w:p>
                  <w:pPr>
                    <w:spacing w:after="0"/>
                    <w:jc w:val="center"/>
                    <w:rPr>
                      <w:rFonts w:ascii="Times New Roman" w:hAnsi="Times New Roman" w:cs="Times New Roman" w:eastAsiaTheme="minorEastAsia"/>
                      <w:color w:val="auto"/>
                      <w:sz w:val="18"/>
                      <w:szCs w:val="18"/>
                    </w:rPr>
                  </w:pPr>
                </w:p>
              </w:tc>
              <w:tc>
                <w:tcPr>
                  <w:tcW w:w="837" w:type="dxa"/>
                  <w:vMerge w:val="restart"/>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单位</w:t>
                  </w:r>
                </w:p>
              </w:tc>
              <w:tc>
                <w:tcPr>
                  <w:tcW w:w="2946" w:type="dxa"/>
                  <w:gridSpan w:val="3"/>
                  <w:vAlign w:val="center"/>
                </w:tcPr>
                <w:p>
                  <w:pPr>
                    <w:spacing w:after="0"/>
                    <w:jc w:val="center"/>
                    <w:rPr>
                      <w:rFonts w:ascii="Times New Roman" w:hAnsi="Times New Roman" w:cs="Times New Roman" w:eastAsiaTheme="minorEastAsia"/>
                      <w:bCs/>
                      <w:color w:val="auto"/>
                      <w:sz w:val="18"/>
                      <w:szCs w:val="18"/>
                    </w:rPr>
                  </w:pPr>
                  <w:r>
                    <w:rPr>
                      <w:rFonts w:ascii="Times New Roman" w:hAnsi="Times New Roman" w:cs="Times New Roman" w:eastAsiaTheme="minorEastAsia"/>
                      <w:color w:val="auto"/>
                      <w:sz w:val="18"/>
                      <w:szCs w:val="18"/>
                    </w:rPr>
                    <w:t>检验结果</w:t>
                  </w:r>
                </w:p>
              </w:tc>
              <w:tc>
                <w:tcPr>
                  <w:tcW w:w="729" w:type="dxa"/>
                  <w:vMerge w:val="continue"/>
                  <w:vAlign w:val="center"/>
                </w:tcPr>
                <w:p>
                  <w:pPr>
                    <w:spacing w:after="0"/>
                    <w:jc w:val="center"/>
                    <w:rPr>
                      <w:rFonts w:ascii="Times New Roman" w:hAnsi="Times New Roman" w:cs="Times New Roman" w:eastAsiaTheme="minorEastAsia"/>
                      <w:color w:val="auto"/>
                      <w:sz w:val="18"/>
                      <w:szCs w:val="18"/>
                    </w:rPr>
                  </w:pPr>
                </w:p>
              </w:tc>
              <w:tc>
                <w:tcPr>
                  <w:tcW w:w="667" w:type="dxa"/>
                  <w:vMerge w:val="continue"/>
                  <w:vAlign w:val="center"/>
                </w:tcPr>
                <w:p>
                  <w:pPr>
                    <w:spacing w:after="0"/>
                    <w:jc w:val="center"/>
                    <w:rPr>
                      <w:rFonts w:ascii="Times New Roman" w:hAnsi="Times New Roman" w:cs="Times New Roman" w:eastAsiaTheme="minorEastAsia"/>
                      <w:bCs/>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9" w:hRule="atLeast"/>
                <w:jc w:val="center"/>
              </w:trPr>
              <w:tc>
                <w:tcPr>
                  <w:tcW w:w="623" w:type="dxa"/>
                  <w:vMerge w:val="continue"/>
                  <w:vAlign w:val="center"/>
                </w:tcPr>
                <w:p>
                  <w:pPr>
                    <w:spacing w:after="0"/>
                    <w:jc w:val="center"/>
                    <w:rPr>
                      <w:rFonts w:ascii="Times New Roman" w:hAnsi="Times New Roman" w:cs="Times New Roman" w:eastAsiaTheme="minorEastAsia"/>
                      <w:bCs/>
                      <w:color w:val="auto"/>
                      <w:sz w:val="18"/>
                      <w:szCs w:val="18"/>
                    </w:rPr>
                  </w:pPr>
                </w:p>
              </w:tc>
              <w:tc>
                <w:tcPr>
                  <w:tcW w:w="839" w:type="dxa"/>
                  <w:vMerge w:val="continue"/>
                  <w:vAlign w:val="center"/>
                </w:tcPr>
                <w:p>
                  <w:pPr>
                    <w:spacing w:after="0"/>
                    <w:jc w:val="center"/>
                    <w:rPr>
                      <w:rFonts w:ascii="Times New Roman" w:hAnsi="Times New Roman" w:cs="Times New Roman" w:eastAsiaTheme="minorEastAsia"/>
                      <w:bCs/>
                      <w:color w:val="auto"/>
                      <w:sz w:val="18"/>
                      <w:szCs w:val="18"/>
                    </w:rPr>
                  </w:pPr>
                </w:p>
              </w:tc>
              <w:tc>
                <w:tcPr>
                  <w:tcW w:w="1874" w:type="dxa"/>
                  <w:gridSpan w:val="2"/>
                  <w:vMerge w:val="continue"/>
                  <w:vAlign w:val="center"/>
                </w:tcPr>
                <w:p>
                  <w:pPr>
                    <w:spacing w:after="0"/>
                    <w:jc w:val="center"/>
                    <w:rPr>
                      <w:rFonts w:ascii="Times New Roman" w:hAnsi="Times New Roman" w:cs="Times New Roman" w:eastAsiaTheme="minorEastAsia"/>
                      <w:bCs/>
                      <w:color w:val="auto"/>
                      <w:sz w:val="18"/>
                      <w:szCs w:val="18"/>
                    </w:rPr>
                  </w:pPr>
                </w:p>
              </w:tc>
              <w:tc>
                <w:tcPr>
                  <w:tcW w:w="837" w:type="dxa"/>
                  <w:vMerge w:val="continue"/>
                  <w:vAlign w:val="center"/>
                </w:tcPr>
                <w:p>
                  <w:pPr>
                    <w:spacing w:after="0"/>
                    <w:jc w:val="center"/>
                    <w:rPr>
                      <w:rFonts w:ascii="Times New Roman" w:hAnsi="Times New Roman" w:cs="Times New Roman" w:eastAsiaTheme="minorEastAsia"/>
                      <w:color w:val="auto"/>
                      <w:sz w:val="18"/>
                      <w:szCs w:val="18"/>
                    </w:rPr>
                  </w:pPr>
                </w:p>
              </w:tc>
              <w:tc>
                <w:tcPr>
                  <w:tcW w:w="994" w:type="dxa"/>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第一次</w:t>
                  </w:r>
                </w:p>
              </w:tc>
              <w:tc>
                <w:tcPr>
                  <w:tcW w:w="1015" w:type="dxa"/>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第二次</w:t>
                  </w:r>
                </w:p>
              </w:tc>
              <w:tc>
                <w:tcPr>
                  <w:tcW w:w="937" w:type="dxa"/>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第三次</w:t>
                  </w:r>
                </w:p>
              </w:tc>
              <w:tc>
                <w:tcPr>
                  <w:tcW w:w="729" w:type="dxa"/>
                  <w:vMerge w:val="continue"/>
                  <w:vAlign w:val="center"/>
                </w:tcPr>
                <w:p>
                  <w:pPr>
                    <w:spacing w:after="0"/>
                    <w:jc w:val="center"/>
                    <w:rPr>
                      <w:rFonts w:ascii="Times New Roman" w:hAnsi="Times New Roman" w:cs="Times New Roman" w:eastAsiaTheme="minorEastAsia"/>
                      <w:b/>
                      <w:color w:val="auto"/>
                      <w:sz w:val="18"/>
                      <w:szCs w:val="18"/>
                    </w:rPr>
                  </w:pPr>
                </w:p>
              </w:tc>
              <w:tc>
                <w:tcPr>
                  <w:tcW w:w="667" w:type="dxa"/>
                  <w:vMerge w:val="continue"/>
                  <w:vAlign w:val="center"/>
                </w:tcPr>
                <w:p>
                  <w:pPr>
                    <w:spacing w:after="0"/>
                    <w:jc w:val="center"/>
                    <w:rPr>
                      <w:rFonts w:ascii="Times New Roman" w:hAnsi="Times New Roman" w:cs="Times New Roman" w:eastAsiaTheme="minorEastAsia"/>
                      <w:b/>
                      <w:bCs/>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restart"/>
                  <w:vAlign w:val="center"/>
                </w:tcPr>
                <w:p>
                  <w:pPr>
                    <w:spacing w:after="0"/>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5</w:t>
                  </w:r>
                  <w:r>
                    <w:rPr>
                      <w:rFonts w:ascii="Times New Roman" w:hAnsi="Times New Roman" w:cs="Times New Roman" w:eastAsiaTheme="minorEastAsia"/>
                      <w:color w:val="auto"/>
                      <w:sz w:val="18"/>
                      <w:szCs w:val="18"/>
                    </w:rPr>
                    <w:t>月31日</w:t>
                  </w:r>
                </w:p>
              </w:tc>
              <w:tc>
                <w:tcPr>
                  <w:tcW w:w="839" w:type="dxa"/>
                  <w:vMerge w:val="restart"/>
                  <w:vAlign w:val="center"/>
                </w:tcPr>
                <w:p>
                  <w:pPr>
                    <w:spacing w:after="0"/>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热试废气</w:t>
                  </w:r>
                  <w:r>
                    <w:rPr>
                      <w:rFonts w:ascii="Times New Roman" w:hAnsi="Times New Roman" w:cs="Times New Roman" w:eastAsiaTheme="minorEastAsia"/>
                      <w:color w:val="auto"/>
                      <w:sz w:val="18"/>
                      <w:szCs w:val="18"/>
                    </w:rPr>
                    <w:t>排口（2</w:t>
                  </w:r>
                  <w:r>
                    <w:rPr>
                      <w:rFonts w:hint="eastAsia" w:ascii="Times New Roman" w:hAnsi="Times New Roman" w:cs="Times New Roman" w:eastAsiaTheme="minorEastAsia"/>
                      <w:color w:val="auto"/>
                      <w:sz w:val="18"/>
                      <w:szCs w:val="18"/>
                    </w:rPr>
                    <w:t>0</w:t>
                  </w:r>
                  <w:r>
                    <w:rPr>
                      <w:rFonts w:ascii="Times New Roman" w:hAnsi="Times New Roman" w:cs="Times New Roman" w:eastAsiaTheme="minorEastAsia"/>
                      <w:color w:val="auto"/>
                      <w:sz w:val="18"/>
                      <w:szCs w:val="18"/>
                    </w:rPr>
                    <w:t>m）</w:t>
                  </w:r>
                </w:p>
              </w:tc>
              <w:tc>
                <w:tcPr>
                  <w:tcW w:w="1874" w:type="dxa"/>
                  <w:gridSpan w:val="2"/>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标</w:t>
                  </w:r>
                  <w:r>
                    <w:rPr>
                      <w:rFonts w:hint="eastAsia" w:ascii="Times New Roman" w:hAnsi="Times New Roman" w:cs="Times New Roman" w:eastAsiaTheme="minorEastAsia"/>
                      <w:color w:val="auto"/>
                      <w:sz w:val="18"/>
                      <w:szCs w:val="18"/>
                      <w:lang w:eastAsia="zh-Hans"/>
                    </w:rPr>
                    <w:t>杆</w:t>
                  </w:r>
                  <w:r>
                    <w:rPr>
                      <w:rFonts w:ascii="Times New Roman" w:hAnsi="Times New Roman" w:cs="Times New Roman" w:eastAsiaTheme="minorEastAsia"/>
                      <w:color w:val="auto"/>
                      <w:sz w:val="18"/>
                      <w:szCs w:val="18"/>
                    </w:rPr>
                    <w:t>烟气量</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w:t>
                  </w:r>
                  <w:r>
                    <w:rPr>
                      <w:rFonts w:ascii="Times New Roman" w:hAnsi="Times New Roman" w:cs="Times New Roman" w:eastAsiaTheme="minorEastAsia"/>
                      <w:color w:val="auto"/>
                      <w:sz w:val="18"/>
                      <w:szCs w:val="18"/>
                      <w:vertAlign w:val="superscript"/>
                    </w:rPr>
                    <w:t>3</w:t>
                  </w:r>
                  <w:r>
                    <w:rPr>
                      <w:rFonts w:ascii="Times New Roman" w:hAnsi="Times New Roman" w:cs="Times New Roman" w:eastAsiaTheme="minorEastAsia"/>
                      <w:color w:val="auto"/>
                      <w:sz w:val="18"/>
                      <w:szCs w:val="18"/>
                    </w:rPr>
                    <w:t>/h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1.1×10</w:t>
                  </w:r>
                  <w:r>
                    <w:rPr>
                      <w:rFonts w:ascii="Times New Roman" w:hAnsi="Times New Roman" w:cs="Times New Roman"/>
                      <w:color w:val="auto"/>
                      <w:sz w:val="18"/>
                      <w:szCs w:val="18"/>
                      <w:vertAlign w:val="superscript"/>
                    </w:rPr>
                    <w:t>3</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1.3×10</w:t>
                  </w:r>
                  <w:r>
                    <w:rPr>
                      <w:rFonts w:ascii="Times New Roman" w:hAnsi="Times New Roman" w:cs="Times New Roman"/>
                      <w:color w:val="auto"/>
                      <w:sz w:val="18"/>
                      <w:szCs w:val="18"/>
                      <w:vertAlign w:val="superscript"/>
                    </w:rPr>
                    <w:t>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1.4×10</w:t>
                  </w:r>
                  <w:r>
                    <w:rPr>
                      <w:rFonts w:ascii="Times New Roman" w:hAnsi="Times New Roman" w:cs="Times New Roman"/>
                      <w:color w:val="auto"/>
                      <w:sz w:val="18"/>
                      <w:szCs w:val="18"/>
                      <w:vertAlign w:val="superscript"/>
                    </w:rPr>
                    <w:t>3</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restart"/>
                  <w:tcBorders>
                    <w:right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氮氧化物</w:t>
                  </w:r>
                </w:p>
                <w:p>
                  <w:pPr>
                    <w:spacing w:after="0" w:line="0" w:lineRule="atLeast"/>
                    <w:jc w:val="center"/>
                    <w:rPr>
                      <w:color w:val="auto"/>
                      <w:lang w:eastAsia="zh-Hans"/>
                    </w:rPr>
                  </w:pPr>
                  <w:r>
                    <w:rPr>
                      <w:rFonts w:hint="eastAsia" w:ascii="Times New Roman" w:hAnsi="Times New Roman" w:cs="Times New Roman" w:eastAsiaTheme="minorEastAsia"/>
                      <w:color w:val="auto"/>
                      <w:sz w:val="18"/>
                      <w:szCs w:val="18"/>
                      <w:lang w:eastAsia="zh-Hans"/>
                    </w:rPr>
                    <w:t>（</w:t>
                  </w:r>
                  <w:r>
                    <w:rPr>
                      <w:rFonts w:ascii="Times New Roman" w:hAnsi="Times New Roman" w:cs="Times New Roman" w:eastAsiaTheme="minorEastAsia"/>
                      <w:color w:val="auto"/>
                      <w:sz w:val="18"/>
                      <w:szCs w:val="18"/>
                      <w:lang w:eastAsia="zh-Hans"/>
                    </w:rPr>
                    <w:t>NO</w:t>
                  </w:r>
                  <w:r>
                    <w:rPr>
                      <w:rFonts w:ascii="Times New Roman" w:hAnsi="Times New Roman" w:cs="Times New Roman" w:eastAsiaTheme="minorEastAsia"/>
                      <w:color w:val="auto"/>
                      <w:sz w:val="18"/>
                      <w:szCs w:val="18"/>
                      <w:vertAlign w:val="subscript"/>
                      <w:lang w:eastAsia="zh-Hans"/>
                    </w:rPr>
                    <w:t>2</w:t>
                  </w:r>
                  <w:r>
                    <w:rPr>
                      <w:rFonts w:hint="eastAsia" w:ascii="Times New Roman" w:hAnsi="Times New Roman" w:cs="Times New Roman" w:eastAsiaTheme="minorEastAsia"/>
                      <w:color w:val="auto"/>
                      <w:sz w:val="18"/>
                      <w:szCs w:val="18"/>
                      <w:lang w:eastAsia="zh-Hans"/>
                    </w:rPr>
                    <w:t>计</w:t>
                  </w:r>
                  <w:r>
                    <w:rPr>
                      <w:rFonts w:ascii="Times New Roman" w:hAnsi="Times New Roman" w:cs="Times New Roman" w:eastAsiaTheme="minorEastAsia"/>
                      <w:color w:val="auto"/>
                      <w:sz w:val="18"/>
                      <w:szCs w:val="18"/>
                      <w:lang w:eastAsia="zh-Hans"/>
                    </w:rPr>
                    <w:t>)</w:t>
                  </w:r>
                </w:p>
              </w:tc>
              <w:tc>
                <w:tcPr>
                  <w:tcW w:w="676" w:type="dxa"/>
                  <w:tcBorders>
                    <w:left w:val="single" w:color="auto" w:sz="4" w:space="0"/>
                    <w:bottom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浓度</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48.1</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24.4</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19.0</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100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continue"/>
                  <w:tcBorders>
                    <w:righ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p>
              </w:tc>
              <w:tc>
                <w:tcPr>
                  <w:tcW w:w="676" w:type="dxa"/>
                  <w:tcBorders>
                    <w:top w:val="single" w:color="auto" w:sz="4" w:space="0"/>
                    <w:lef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速率</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kg/h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5.3×10</w:t>
                  </w:r>
                  <w:r>
                    <w:rPr>
                      <w:rFonts w:ascii="Times New Roman" w:hAnsi="Times New Roman" w:cs="Times New Roman"/>
                      <w:color w:val="auto"/>
                      <w:sz w:val="18"/>
                      <w:szCs w:val="18"/>
                      <w:vertAlign w:val="superscript"/>
                    </w:rPr>
                    <w:t>-2</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3.2×10</w:t>
                  </w:r>
                  <w:r>
                    <w:rPr>
                      <w:rFonts w:ascii="Times New Roman" w:hAnsi="Times New Roman" w:cs="Times New Roman"/>
                      <w:color w:val="auto"/>
                      <w:sz w:val="18"/>
                      <w:szCs w:val="18"/>
                      <w:vertAlign w:val="superscript"/>
                    </w:rPr>
                    <w:t>-2</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2.7×10</w:t>
                  </w:r>
                  <w:r>
                    <w:rPr>
                      <w:rFonts w:ascii="Times New Roman" w:hAnsi="Times New Roman" w:cs="Times New Roman"/>
                      <w:color w:val="auto"/>
                      <w:sz w:val="18"/>
                      <w:szCs w:val="18"/>
                      <w:vertAlign w:val="superscript"/>
                    </w:rPr>
                    <w:t>-2</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0.72</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restart"/>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非甲烷总烃</w:t>
                  </w:r>
                </w:p>
                <w:p>
                  <w:pPr>
                    <w:spacing w:after="0"/>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（以碳计）</w:t>
                  </w:r>
                </w:p>
              </w:tc>
              <w:tc>
                <w:tcPr>
                  <w:tcW w:w="676" w:type="dxa"/>
                  <w:tcBorders>
                    <w:left w:val="single" w:color="auto" w:sz="4" w:space="0"/>
                    <w:bottom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lang w:eastAsia="zh-Hans"/>
                    </w:rPr>
                    <w:t>浓度</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8.42</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7.72</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7.16</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50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continue"/>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p>
              </w:tc>
              <w:tc>
                <w:tcPr>
                  <w:tcW w:w="676" w:type="dxa"/>
                  <w:tcBorders>
                    <w:top w:val="single" w:color="auto" w:sz="4" w:space="0"/>
                    <w:lef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速率</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kg/h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9.3×10</w:t>
                  </w:r>
                  <w:r>
                    <w:rPr>
                      <w:rFonts w:ascii="Times New Roman" w:hAnsi="Times New Roman" w:cs="Times New Roman"/>
                      <w:color w:val="auto"/>
                      <w:sz w:val="18"/>
                      <w:szCs w:val="18"/>
                      <w:vertAlign w:val="superscript"/>
                    </w:rPr>
                    <w:t>-3</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1.0×10</w:t>
                  </w:r>
                  <w:r>
                    <w:rPr>
                      <w:rFonts w:ascii="Times New Roman" w:hAnsi="Times New Roman" w:cs="Times New Roman"/>
                      <w:color w:val="auto"/>
                      <w:sz w:val="18"/>
                      <w:szCs w:val="18"/>
                      <w:vertAlign w:val="superscript"/>
                    </w:rPr>
                    <w:t>-2</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1.0×10</w:t>
                  </w:r>
                  <w:r>
                    <w:rPr>
                      <w:rFonts w:ascii="Times New Roman" w:hAnsi="Times New Roman" w:cs="Times New Roman"/>
                      <w:color w:val="auto"/>
                      <w:sz w:val="18"/>
                      <w:szCs w:val="18"/>
                      <w:vertAlign w:val="superscript"/>
                    </w:rPr>
                    <w:t>-2</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6.0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restart"/>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颗粒物</w:t>
                  </w:r>
                </w:p>
              </w:tc>
              <w:tc>
                <w:tcPr>
                  <w:tcW w:w="676" w:type="dxa"/>
                  <w:tcBorders>
                    <w:left w:val="single" w:color="auto" w:sz="4" w:space="0"/>
                    <w:bottom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浓度</w:t>
                  </w:r>
                </w:p>
              </w:tc>
              <w:tc>
                <w:tcPr>
                  <w:tcW w:w="837" w:type="dxa"/>
                  <w:tcBorders>
                    <w:bottom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p>
              </w:tc>
              <w:tc>
                <w:tcPr>
                  <w:tcW w:w="994" w:type="dxa"/>
                  <w:vAlign w:val="center"/>
                </w:tcPr>
                <w:p>
                  <w:pPr>
                    <w:widowControl w:val="0"/>
                    <w:adjustRightInd/>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2.2</w:t>
                  </w:r>
                </w:p>
              </w:tc>
              <w:tc>
                <w:tcPr>
                  <w:tcW w:w="1015" w:type="dxa"/>
                  <w:vAlign w:val="center"/>
                </w:tcPr>
                <w:p>
                  <w:pPr>
                    <w:widowControl w:val="0"/>
                    <w:adjustRightInd/>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2.4</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2.3</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continue"/>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p>
              </w:tc>
              <w:tc>
                <w:tcPr>
                  <w:tcW w:w="676" w:type="dxa"/>
                  <w:tcBorders>
                    <w:top w:val="single" w:color="auto" w:sz="4" w:space="0"/>
                    <w:lef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速率</w:t>
                  </w:r>
                </w:p>
              </w:tc>
              <w:tc>
                <w:tcPr>
                  <w:tcW w:w="837" w:type="dxa"/>
                  <w:tcBorders>
                    <w:top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kg/h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2.4×10</w:t>
                  </w:r>
                  <w:r>
                    <w:rPr>
                      <w:rFonts w:ascii="Times New Roman" w:hAnsi="Times New Roman" w:cs="Times New Roman"/>
                      <w:color w:val="auto"/>
                      <w:sz w:val="18"/>
                      <w:szCs w:val="18"/>
                      <w:vertAlign w:val="superscript"/>
                    </w:rPr>
                    <w:t>-3</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3.1×10</w:t>
                  </w:r>
                  <w:r>
                    <w:rPr>
                      <w:rFonts w:ascii="Times New Roman" w:hAnsi="Times New Roman" w:cs="Times New Roman"/>
                      <w:color w:val="auto"/>
                      <w:sz w:val="18"/>
                      <w:szCs w:val="18"/>
                      <w:vertAlign w:val="superscript"/>
                    </w:rPr>
                    <w:t>-3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3.2×10</w:t>
                  </w:r>
                  <w:r>
                    <w:rPr>
                      <w:rFonts w:ascii="Times New Roman" w:hAnsi="Times New Roman" w:cs="Times New Roman"/>
                      <w:color w:val="auto"/>
                      <w:sz w:val="18"/>
                      <w:szCs w:val="18"/>
                      <w:vertAlign w:val="superscript"/>
                    </w:rPr>
                    <w:t>-3</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1.3</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23" w:type="dxa"/>
                  <w:vMerge w:val="restart"/>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6月</w:t>
                  </w:r>
                </w:p>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1日</w:t>
                  </w:r>
                </w:p>
              </w:tc>
              <w:tc>
                <w:tcPr>
                  <w:tcW w:w="839" w:type="dxa"/>
                  <w:vMerge w:val="restart"/>
                  <w:vAlign w:val="center"/>
                </w:tcPr>
                <w:p>
                  <w:pPr>
                    <w:spacing w:after="0"/>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热试废气</w:t>
                  </w:r>
                  <w:r>
                    <w:rPr>
                      <w:rFonts w:ascii="Times New Roman" w:hAnsi="Times New Roman" w:cs="Times New Roman" w:eastAsiaTheme="minorEastAsia"/>
                      <w:color w:val="auto"/>
                      <w:sz w:val="18"/>
                      <w:szCs w:val="18"/>
                    </w:rPr>
                    <w:t>排口（2</w:t>
                  </w:r>
                  <w:r>
                    <w:rPr>
                      <w:rFonts w:hint="eastAsia" w:ascii="Times New Roman" w:hAnsi="Times New Roman" w:cs="Times New Roman" w:eastAsiaTheme="minorEastAsia"/>
                      <w:color w:val="auto"/>
                      <w:sz w:val="18"/>
                      <w:szCs w:val="18"/>
                    </w:rPr>
                    <w:t>0</w:t>
                  </w:r>
                  <w:r>
                    <w:rPr>
                      <w:rFonts w:ascii="Times New Roman" w:hAnsi="Times New Roman" w:cs="Times New Roman" w:eastAsiaTheme="minorEastAsia"/>
                      <w:color w:val="auto"/>
                      <w:sz w:val="18"/>
                      <w:szCs w:val="18"/>
                    </w:rPr>
                    <w:t>m）</w:t>
                  </w:r>
                </w:p>
              </w:tc>
              <w:tc>
                <w:tcPr>
                  <w:tcW w:w="1874" w:type="dxa"/>
                  <w:gridSpan w:val="2"/>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标</w:t>
                  </w:r>
                  <w:r>
                    <w:rPr>
                      <w:rFonts w:hint="eastAsia" w:ascii="Times New Roman" w:hAnsi="Times New Roman" w:cs="Times New Roman" w:eastAsiaTheme="minorEastAsia"/>
                      <w:color w:val="auto"/>
                      <w:sz w:val="18"/>
                      <w:szCs w:val="18"/>
                      <w:lang w:eastAsia="zh-Hans"/>
                    </w:rPr>
                    <w:t>杆</w:t>
                  </w:r>
                  <w:r>
                    <w:rPr>
                      <w:rFonts w:ascii="Times New Roman" w:hAnsi="Times New Roman" w:cs="Times New Roman" w:eastAsiaTheme="minorEastAsia"/>
                      <w:color w:val="auto"/>
                      <w:sz w:val="18"/>
                      <w:szCs w:val="18"/>
                    </w:rPr>
                    <w:t>烟气量</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w:t>
                  </w:r>
                  <w:r>
                    <w:rPr>
                      <w:rFonts w:ascii="Times New Roman" w:hAnsi="Times New Roman" w:cs="Times New Roman" w:eastAsiaTheme="minorEastAsia"/>
                      <w:color w:val="auto"/>
                      <w:sz w:val="18"/>
                      <w:szCs w:val="18"/>
                      <w:vertAlign w:val="superscript"/>
                    </w:rPr>
                    <w:t>3</w:t>
                  </w:r>
                  <w:r>
                    <w:rPr>
                      <w:rFonts w:ascii="Times New Roman" w:hAnsi="Times New Roman" w:cs="Times New Roman" w:eastAsiaTheme="minorEastAsia"/>
                      <w:color w:val="auto"/>
                      <w:sz w:val="18"/>
                      <w:szCs w:val="18"/>
                    </w:rPr>
                    <w:t>/h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1.3×10</w:t>
                  </w:r>
                  <w:r>
                    <w:rPr>
                      <w:rFonts w:ascii="Times New Roman" w:hAnsi="Times New Roman" w:cs="Times New Roman"/>
                      <w:color w:val="auto"/>
                      <w:sz w:val="18"/>
                      <w:szCs w:val="18"/>
                      <w:vertAlign w:val="superscript"/>
                    </w:rPr>
                    <w:t>3</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1.6×10</w:t>
                  </w:r>
                  <w:r>
                    <w:rPr>
                      <w:rFonts w:ascii="Times New Roman" w:hAnsi="Times New Roman" w:cs="Times New Roman"/>
                      <w:color w:val="auto"/>
                      <w:sz w:val="18"/>
                      <w:szCs w:val="18"/>
                      <w:vertAlign w:val="superscript"/>
                    </w:rPr>
                    <w:t>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1.3×10</w:t>
                  </w:r>
                  <w:r>
                    <w:rPr>
                      <w:rFonts w:ascii="Times New Roman" w:hAnsi="Times New Roman" w:cs="Times New Roman"/>
                      <w:color w:val="auto"/>
                      <w:sz w:val="18"/>
                      <w:szCs w:val="18"/>
                      <w:vertAlign w:val="superscript"/>
                    </w:rPr>
                    <w:t>3</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restart"/>
                  <w:tcBorders>
                    <w:right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氮氧化物</w:t>
                  </w:r>
                </w:p>
                <w:p>
                  <w:pPr>
                    <w:spacing w:after="0" w:line="0" w:lineRule="atLeast"/>
                    <w:jc w:val="center"/>
                    <w:rPr>
                      <w:color w:val="auto"/>
                      <w:lang w:eastAsia="zh-Hans"/>
                    </w:rPr>
                  </w:pPr>
                  <w:r>
                    <w:rPr>
                      <w:rFonts w:hint="eastAsia" w:ascii="Times New Roman" w:hAnsi="Times New Roman" w:cs="Times New Roman" w:eastAsiaTheme="minorEastAsia"/>
                      <w:color w:val="auto"/>
                      <w:sz w:val="18"/>
                      <w:szCs w:val="18"/>
                      <w:lang w:eastAsia="zh-Hans"/>
                    </w:rPr>
                    <w:t>（</w:t>
                  </w:r>
                  <w:r>
                    <w:rPr>
                      <w:rFonts w:ascii="Times New Roman" w:hAnsi="Times New Roman" w:cs="Times New Roman" w:eastAsiaTheme="minorEastAsia"/>
                      <w:color w:val="auto"/>
                      <w:sz w:val="18"/>
                      <w:szCs w:val="18"/>
                      <w:lang w:eastAsia="zh-Hans"/>
                    </w:rPr>
                    <w:t>NO</w:t>
                  </w:r>
                  <w:r>
                    <w:rPr>
                      <w:rFonts w:ascii="Times New Roman" w:hAnsi="Times New Roman" w:cs="Times New Roman" w:eastAsiaTheme="minorEastAsia"/>
                      <w:color w:val="auto"/>
                      <w:sz w:val="18"/>
                      <w:szCs w:val="18"/>
                      <w:vertAlign w:val="subscript"/>
                      <w:lang w:eastAsia="zh-Hans"/>
                    </w:rPr>
                    <w:t>2</w:t>
                  </w:r>
                  <w:r>
                    <w:rPr>
                      <w:rFonts w:hint="eastAsia" w:ascii="Times New Roman" w:hAnsi="Times New Roman" w:cs="Times New Roman" w:eastAsiaTheme="minorEastAsia"/>
                      <w:color w:val="auto"/>
                      <w:sz w:val="18"/>
                      <w:szCs w:val="18"/>
                      <w:lang w:eastAsia="zh-Hans"/>
                    </w:rPr>
                    <w:t>计</w:t>
                  </w:r>
                  <w:r>
                    <w:rPr>
                      <w:rFonts w:ascii="Times New Roman" w:hAnsi="Times New Roman" w:cs="Times New Roman" w:eastAsiaTheme="minorEastAsia"/>
                      <w:color w:val="auto"/>
                      <w:sz w:val="18"/>
                      <w:szCs w:val="18"/>
                      <w:lang w:eastAsia="zh-Hans"/>
                    </w:rPr>
                    <w:t>)</w:t>
                  </w:r>
                </w:p>
              </w:tc>
              <w:tc>
                <w:tcPr>
                  <w:tcW w:w="676" w:type="dxa"/>
                  <w:tcBorders>
                    <w:left w:val="single" w:color="auto" w:sz="4" w:space="0"/>
                    <w:bottom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浓度</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27.0</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26.3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20.0</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100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continue"/>
                  <w:tcBorders>
                    <w:righ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p>
              </w:tc>
              <w:tc>
                <w:tcPr>
                  <w:tcW w:w="676" w:type="dxa"/>
                  <w:tcBorders>
                    <w:top w:val="single" w:color="auto" w:sz="4" w:space="0"/>
                    <w:lef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速率</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kg/h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3.5×10</w:t>
                  </w:r>
                  <w:r>
                    <w:rPr>
                      <w:rFonts w:ascii="Times New Roman" w:hAnsi="Times New Roman" w:cs="Times New Roman"/>
                      <w:color w:val="auto"/>
                      <w:sz w:val="18"/>
                      <w:szCs w:val="18"/>
                      <w:vertAlign w:val="superscript"/>
                    </w:rPr>
                    <w:t>-2</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4.2×10</w:t>
                  </w:r>
                  <w:r>
                    <w:rPr>
                      <w:rFonts w:ascii="Times New Roman" w:hAnsi="Times New Roman" w:cs="Times New Roman"/>
                      <w:color w:val="auto"/>
                      <w:sz w:val="18"/>
                      <w:szCs w:val="18"/>
                      <w:vertAlign w:val="superscript"/>
                    </w:rPr>
                    <w:t>-2</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2.6×10</w:t>
                  </w:r>
                  <w:r>
                    <w:rPr>
                      <w:rFonts w:ascii="Times New Roman" w:hAnsi="Times New Roman" w:cs="Times New Roman"/>
                      <w:color w:val="auto"/>
                      <w:sz w:val="18"/>
                      <w:szCs w:val="18"/>
                      <w:vertAlign w:val="superscript"/>
                    </w:rPr>
                    <w:t>-2</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0.72</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restart"/>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非甲烷总烃</w:t>
                  </w:r>
                </w:p>
                <w:p>
                  <w:pPr>
                    <w:spacing w:after="0"/>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（以碳计）</w:t>
                  </w:r>
                </w:p>
              </w:tc>
              <w:tc>
                <w:tcPr>
                  <w:tcW w:w="676" w:type="dxa"/>
                  <w:tcBorders>
                    <w:left w:val="single" w:color="auto" w:sz="4" w:space="0"/>
                    <w:bottom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lang w:eastAsia="zh-Hans"/>
                    </w:rPr>
                    <w:t>浓度</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7.09</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5.89</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7.01</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50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continue"/>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p>
              </w:tc>
              <w:tc>
                <w:tcPr>
                  <w:tcW w:w="676" w:type="dxa"/>
                  <w:tcBorders>
                    <w:top w:val="single" w:color="auto" w:sz="4" w:space="0"/>
                    <w:lef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速率</w:t>
                  </w:r>
                </w:p>
              </w:tc>
              <w:tc>
                <w:tcPr>
                  <w:tcW w:w="83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kg/h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9.2×10</w:t>
                  </w:r>
                  <w:r>
                    <w:rPr>
                      <w:rFonts w:ascii="Times New Roman" w:hAnsi="Times New Roman" w:cs="Times New Roman"/>
                      <w:color w:val="auto"/>
                      <w:sz w:val="18"/>
                      <w:szCs w:val="18"/>
                      <w:vertAlign w:val="superscript"/>
                    </w:rPr>
                    <w:t>-3</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9.4×10</w:t>
                  </w:r>
                  <w:r>
                    <w:rPr>
                      <w:rFonts w:ascii="Times New Roman" w:hAnsi="Times New Roman" w:cs="Times New Roman"/>
                      <w:color w:val="auto"/>
                      <w:sz w:val="18"/>
                      <w:szCs w:val="18"/>
                      <w:vertAlign w:val="superscript"/>
                    </w:rPr>
                    <w:t>-3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9.1×10</w:t>
                  </w:r>
                  <w:r>
                    <w:rPr>
                      <w:rFonts w:ascii="Times New Roman" w:hAnsi="Times New Roman" w:cs="Times New Roman"/>
                      <w:color w:val="auto"/>
                      <w:sz w:val="18"/>
                      <w:szCs w:val="18"/>
                      <w:vertAlign w:val="superscript"/>
                    </w:rPr>
                    <w:t>-3</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6.0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restart"/>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颗粒物</w:t>
                  </w:r>
                </w:p>
              </w:tc>
              <w:tc>
                <w:tcPr>
                  <w:tcW w:w="676" w:type="dxa"/>
                  <w:tcBorders>
                    <w:left w:val="single" w:color="auto" w:sz="4" w:space="0"/>
                    <w:bottom w:val="single" w:color="auto" w:sz="4" w:space="0"/>
                  </w:tcBorders>
                  <w:vAlign w:val="center"/>
                </w:tcPr>
                <w:p>
                  <w:pPr>
                    <w:spacing w:after="0" w:line="0" w:lineRule="atLeast"/>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浓度</w:t>
                  </w:r>
                </w:p>
              </w:tc>
              <w:tc>
                <w:tcPr>
                  <w:tcW w:w="837" w:type="dxa"/>
                  <w:tcBorders>
                    <w:bottom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mg/m</w:t>
                  </w:r>
                  <w:r>
                    <w:rPr>
                      <w:rFonts w:ascii="Times New Roman" w:hAnsi="Times New Roman" w:cs="Times New Roman" w:eastAsiaTheme="minorEastAsia"/>
                      <w:color w:val="auto"/>
                      <w:sz w:val="18"/>
                      <w:szCs w:val="18"/>
                      <w:vertAlign w:val="superscript"/>
                    </w:rPr>
                    <w:t>3</w:t>
                  </w:r>
                </w:p>
              </w:tc>
              <w:tc>
                <w:tcPr>
                  <w:tcW w:w="994" w:type="dxa"/>
                  <w:vAlign w:val="center"/>
                </w:tcPr>
                <w:p>
                  <w:pPr>
                    <w:widowControl w:val="0"/>
                    <w:adjustRightInd/>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2.6</w:t>
                  </w:r>
                </w:p>
              </w:tc>
              <w:tc>
                <w:tcPr>
                  <w:tcW w:w="1015" w:type="dxa"/>
                  <w:vAlign w:val="center"/>
                </w:tcPr>
                <w:p>
                  <w:pPr>
                    <w:widowControl w:val="0"/>
                    <w:adjustRightInd/>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2.4</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10</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623" w:type="dxa"/>
                  <w:vMerge w:val="continue"/>
                  <w:vAlign w:val="center"/>
                </w:tcPr>
                <w:p>
                  <w:pPr>
                    <w:spacing w:after="0"/>
                    <w:jc w:val="center"/>
                    <w:rPr>
                      <w:rFonts w:ascii="Times New Roman" w:hAnsi="Times New Roman" w:cs="Times New Roman" w:eastAsiaTheme="minorEastAsia"/>
                      <w:color w:val="auto"/>
                      <w:sz w:val="18"/>
                      <w:szCs w:val="18"/>
                    </w:rPr>
                  </w:pPr>
                </w:p>
              </w:tc>
              <w:tc>
                <w:tcPr>
                  <w:tcW w:w="839" w:type="dxa"/>
                  <w:vMerge w:val="continue"/>
                  <w:vAlign w:val="center"/>
                </w:tcPr>
                <w:p>
                  <w:pPr>
                    <w:spacing w:after="0"/>
                    <w:jc w:val="center"/>
                    <w:rPr>
                      <w:rFonts w:ascii="Times New Roman" w:hAnsi="Times New Roman" w:cs="Times New Roman" w:eastAsiaTheme="minorEastAsia"/>
                      <w:color w:val="auto"/>
                      <w:sz w:val="18"/>
                      <w:szCs w:val="18"/>
                    </w:rPr>
                  </w:pPr>
                </w:p>
              </w:tc>
              <w:tc>
                <w:tcPr>
                  <w:tcW w:w="1198" w:type="dxa"/>
                  <w:vMerge w:val="continue"/>
                  <w:tcBorders>
                    <w:right w:val="single" w:color="auto" w:sz="4" w:space="0"/>
                  </w:tcBorders>
                  <w:vAlign w:val="center"/>
                </w:tcPr>
                <w:p>
                  <w:pPr>
                    <w:spacing w:after="0"/>
                    <w:jc w:val="center"/>
                    <w:rPr>
                      <w:rFonts w:ascii="Times New Roman" w:hAnsi="Times New Roman" w:cs="Times New Roman" w:eastAsiaTheme="minorEastAsia"/>
                      <w:color w:val="auto"/>
                      <w:sz w:val="18"/>
                      <w:szCs w:val="18"/>
                    </w:rPr>
                  </w:pPr>
                </w:p>
              </w:tc>
              <w:tc>
                <w:tcPr>
                  <w:tcW w:w="676" w:type="dxa"/>
                  <w:tcBorders>
                    <w:top w:val="single" w:color="auto" w:sz="4" w:space="0"/>
                    <w:left w:val="single" w:color="auto" w:sz="4" w:space="0"/>
                  </w:tcBorders>
                  <w:vAlign w:val="center"/>
                </w:tcPr>
                <w:p>
                  <w:pPr>
                    <w:spacing w:after="0"/>
                    <w:jc w:val="center"/>
                    <w:rPr>
                      <w:rFonts w:ascii="Times New Roman" w:hAnsi="Times New Roman" w:cs="Times New Roman" w:eastAsiaTheme="minorEastAsia"/>
                      <w:color w:val="auto"/>
                      <w:sz w:val="18"/>
                      <w:szCs w:val="18"/>
                      <w:lang w:eastAsia="zh-Hans"/>
                    </w:rPr>
                  </w:pPr>
                  <w:r>
                    <w:rPr>
                      <w:rFonts w:hint="eastAsia" w:ascii="Times New Roman" w:hAnsi="Times New Roman" w:cs="Times New Roman" w:eastAsiaTheme="minorEastAsia"/>
                      <w:color w:val="auto"/>
                      <w:sz w:val="18"/>
                      <w:szCs w:val="18"/>
                      <w:lang w:eastAsia="zh-Hans"/>
                    </w:rPr>
                    <w:t>速率</w:t>
                  </w:r>
                </w:p>
              </w:tc>
              <w:tc>
                <w:tcPr>
                  <w:tcW w:w="837" w:type="dxa"/>
                  <w:tcBorders>
                    <w:top w:val="single" w:color="auto" w:sz="4" w:space="0"/>
                  </w:tcBorders>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kg/h</w:t>
                  </w:r>
                </w:p>
              </w:tc>
              <w:tc>
                <w:tcPr>
                  <w:tcW w:w="994"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3.4×10</w:t>
                  </w:r>
                  <w:r>
                    <w:rPr>
                      <w:rFonts w:ascii="Times New Roman" w:hAnsi="Times New Roman" w:cs="Times New Roman"/>
                      <w:color w:val="auto"/>
                      <w:sz w:val="18"/>
                      <w:szCs w:val="18"/>
                      <w:vertAlign w:val="superscript"/>
                    </w:rPr>
                    <w:t>-3</w:t>
                  </w:r>
                </w:p>
              </w:tc>
              <w:tc>
                <w:tcPr>
                  <w:tcW w:w="1015"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3.7×10</w:t>
                  </w:r>
                  <w:r>
                    <w:rPr>
                      <w:rFonts w:ascii="Times New Roman" w:hAnsi="Times New Roman" w:cs="Times New Roman"/>
                      <w:color w:val="auto"/>
                      <w:sz w:val="18"/>
                      <w:szCs w:val="18"/>
                      <w:vertAlign w:val="superscript"/>
                    </w:rPr>
                    <w:t>-3</w:t>
                  </w:r>
                </w:p>
              </w:tc>
              <w:tc>
                <w:tcPr>
                  <w:tcW w:w="937" w:type="dxa"/>
                  <w:vAlign w:val="center"/>
                </w:tcPr>
                <w:p>
                  <w:pPr>
                    <w:spacing w:after="0"/>
                    <w:jc w:val="center"/>
                    <w:rPr>
                      <w:rFonts w:ascii="Times New Roman" w:hAnsi="Times New Roman" w:cs="Times New Roman"/>
                      <w:color w:val="auto"/>
                      <w:sz w:val="18"/>
                      <w:szCs w:val="18"/>
                    </w:rPr>
                  </w:pPr>
                  <w:r>
                    <w:rPr>
                      <w:rFonts w:ascii="Times New Roman" w:hAnsi="Times New Roman" w:cs="Times New Roman"/>
                      <w:color w:val="auto"/>
                      <w:sz w:val="18"/>
                      <w:szCs w:val="18"/>
                    </w:rPr>
                    <w:t>3.1×10</w:t>
                  </w:r>
                  <w:r>
                    <w:rPr>
                      <w:rFonts w:ascii="Times New Roman" w:hAnsi="Times New Roman" w:cs="Times New Roman"/>
                      <w:color w:val="auto"/>
                      <w:sz w:val="18"/>
                      <w:szCs w:val="18"/>
                      <w:vertAlign w:val="superscript"/>
                    </w:rPr>
                    <w:t>-3</w:t>
                  </w:r>
                </w:p>
              </w:tc>
              <w:tc>
                <w:tcPr>
                  <w:tcW w:w="729"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1.3</w:t>
                  </w:r>
                </w:p>
              </w:tc>
              <w:tc>
                <w:tcPr>
                  <w:tcW w:w="667" w:type="dxa"/>
                  <w:vAlign w:val="center"/>
                </w:tcPr>
                <w:p>
                  <w:pPr>
                    <w:spacing w:after="0"/>
                    <w:jc w:val="center"/>
                    <w:rPr>
                      <w:rFonts w:ascii="Times New Roman" w:hAnsi="Times New Roman" w:cs="Times New Roman" w:eastAsiaTheme="minorEastAsia"/>
                      <w:color w:val="auto"/>
                      <w:sz w:val="18"/>
                      <w:szCs w:val="18"/>
                    </w:rPr>
                  </w:pPr>
                  <w:r>
                    <w:rPr>
                      <w:rFonts w:ascii="Times New Roman" w:hAnsi="Times New Roman" w:cs="Times New Roman" w:eastAsiaTheme="minorEastAsia"/>
                      <w:color w:val="auto"/>
                      <w:sz w:val="18"/>
                      <w:szCs w:val="18"/>
                    </w:rPr>
                    <w:t>达标</w:t>
                  </w:r>
                </w:p>
              </w:tc>
            </w:tr>
          </w:tbl>
          <w:p>
            <w:pPr>
              <w:spacing w:after="0" w:line="500" w:lineRule="exact"/>
              <w:ind w:firstLine="420" w:firstLineChars="200"/>
              <w:rPr>
                <w:rFonts w:ascii="Times New Roman" w:hAnsi="Times New Roman" w:eastAsia="黑体" w:cs="Times New Roman"/>
                <w:color w:val="auto"/>
                <w:sz w:val="21"/>
                <w:szCs w:val="21"/>
              </w:rPr>
            </w:pPr>
            <w:r>
              <w:rPr>
                <w:rFonts w:hint="eastAsia" w:ascii="Times New Roman" w:hAnsi="Times New Roman" w:eastAsia="宋体" w:cs="Times New Roman"/>
                <w:color w:val="auto"/>
                <w:sz w:val="21"/>
                <w:szCs w:val="21"/>
                <w:lang w:eastAsia="zh-Hans"/>
              </w:rPr>
              <w:t>由检测报告中的上表监测结果可知，</w:t>
            </w:r>
            <w:r>
              <w:rPr>
                <w:rFonts w:ascii="Times New Roman" w:hAnsi="Times New Roman" w:eastAsia="宋体" w:cs="Times New Roman"/>
                <w:color w:val="auto"/>
                <w:sz w:val="21"/>
                <w:szCs w:val="21"/>
              </w:rPr>
              <w:t>本项目</w:t>
            </w:r>
            <w:r>
              <w:rPr>
                <w:rFonts w:hint="eastAsia" w:ascii="Times New Roman" w:hAnsi="Times New Roman" w:eastAsia="宋体" w:cs="Times New Roman"/>
                <w:color w:val="auto"/>
                <w:sz w:val="21"/>
                <w:szCs w:val="21"/>
              </w:rPr>
              <w:t>天然气发动机热试外排废气</w:t>
            </w:r>
            <w:r>
              <w:rPr>
                <w:rFonts w:hint="eastAsia" w:ascii="Times New Roman" w:hAnsi="Times New Roman" w:eastAsia="宋体" w:cs="Times New Roman"/>
                <w:color w:val="auto"/>
                <w:sz w:val="21"/>
                <w:szCs w:val="21"/>
                <w:lang w:eastAsia="zh-Hans"/>
              </w:rPr>
              <w:t>浓度、速率均</w:t>
            </w:r>
            <w:r>
              <w:rPr>
                <w:rFonts w:hint="eastAsia" w:ascii="Times New Roman" w:hAnsi="Times New Roman" w:eastAsia="宋体" w:cs="Times New Roman"/>
                <w:color w:val="auto"/>
                <w:sz w:val="21"/>
                <w:szCs w:val="21"/>
              </w:rPr>
              <w:t>能够达到</w:t>
            </w:r>
            <w:r>
              <w:rPr>
                <w:rFonts w:ascii="Times New Roman" w:hAnsi="Times New Roman" w:eastAsia="宋体" w:cs="Times New Roman"/>
                <w:color w:val="auto"/>
                <w:sz w:val="21"/>
                <w:szCs w:val="21"/>
              </w:rPr>
              <w:t>《大气污染物综合排放标准》（DB11/501-2017）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 3 生产工艺废气及其他废气大气污染物排放限值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时段相关限值要求。</w:t>
            </w:r>
          </w:p>
          <w:p>
            <w:pPr>
              <w:spacing w:after="0" w:line="500" w:lineRule="exact"/>
              <w:rPr>
                <w:rFonts w:ascii="Times New Roman" w:hAnsi="Times New Roman" w:eastAsia="宋体" w:cs="Times New Roman"/>
                <w:color w:val="auto"/>
                <w:sz w:val="21"/>
                <w:szCs w:val="21"/>
              </w:rPr>
            </w:pPr>
            <w:r>
              <w:rPr>
                <w:rFonts w:ascii="Times New Roman" w:hAnsi="Times New Roman" w:eastAsia="黑体" w:cs="Times New Roman"/>
                <w:color w:val="auto"/>
                <w:sz w:val="21"/>
                <w:szCs w:val="21"/>
              </w:rPr>
              <w:t>2</w:t>
            </w:r>
            <w:r>
              <w:rPr>
                <w:rFonts w:hint="eastAsia" w:ascii="Times New Roman" w:hAnsi="Times New Roman" w:eastAsia="黑体" w:cs="Times New Roman"/>
                <w:color w:val="auto"/>
                <w:sz w:val="21"/>
                <w:szCs w:val="21"/>
              </w:rPr>
              <w:t xml:space="preserve"> 噪声</w:t>
            </w:r>
          </w:p>
          <w:p>
            <w:pPr>
              <w:spacing w:after="0" w:line="500" w:lineRule="exact"/>
              <w:ind w:firstLine="420" w:firstLineChars="200"/>
              <w:rPr>
                <w:rFonts w:ascii="Times New Roman" w:hAnsi="Times New Roman" w:eastAsia="黑体" w:cs="Times New Roman"/>
                <w:color w:val="auto"/>
                <w:sz w:val="21"/>
                <w:szCs w:val="21"/>
              </w:rPr>
            </w:pPr>
            <w:r>
              <w:rPr>
                <w:rFonts w:hint="eastAsia" w:ascii="Times New Roman" w:hAnsi="Times New Roman" w:eastAsia="宋体" w:cs="Times New Roman"/>
                <w:color w:val="auto"/>
                <w:sz w:val="21"/>
                <w:szCs w:val="21"/>
              </w:rPr>
              <w:t>2022年5月</w:t>
            </w:r>
            <w:r>
              <w:rPr>
                <w:rFonts w:ascii="Times New Roman" w:hAnsi="Times New Roman" w:eastAsia="宋体" w:cs="Times New Roman"/>
                <w:color w:val="auto"/>
                <w:sz w:val="21"/>
                <w:szCs w:val="21"/>
              </w:rPr>
              <w:t>31</w:t>
            </w:r>
            <w:r>
              <w:rPr>
                <w:rFonts w:hint="eastAsia" w:ascii="Times New Roman" w:hAnsi="Times New Roman" w:eastAsia="宋体" w:cs="Times New Roman"/>
                <w:color w:val="auto"/>
                <w:sz w:val="21"/>
                <w:szCs w:val="21"/>
              </w:rPr>
              <w:t>日、</w:t>
            </w:r>
            <w:r>
              <w:rPr>
                <w:rFonts w:ascii="Times New Roman" w:hAnsi="Times New Roman" w:eastAsia="宋体" w:cs="Times New Roman"/>
                <w:color w:val="auto"/>
                <w:sz w:val="21"/>
                <w:szCs w:val="21"/>
              </w:rPr>
              <w:t>6</w:t>
            </w:r>
            <w:r>
              <w:rPr>
                <w:rFonts w:hint="eastAsia" w:ascii="Times New Roman" w:hAnsi="Times New Roman" w:eastAsia="宋体" w:cs="Times New Roman"/>
                <w:color w:val="auto"/>
                <w:sz w:val="21"/>
                <w:szCs w:val="21"/>
                <w:lang w:eastAsia="zh-Hans"/>
              </w:rPr>
              <w:t>月</w:t>
            </w:r>
            <w:r>
              <w:rPr>
                <w:rFonts w:ascii="Times New Roman" w:hAnsi="Times New Roman" w:eastAsia="宋体" w:cs="Times New Roman"/>
                <w:color w:val="auto"/>
                <w:sz w:val="21"/>
                <w:szCs w:val="21"/>
              </w:rPr>
              <w:t>1</w:t>
            </w:r>
            <w:r>
              <w:rPr>
                <w:rFonts w:hint="eastAsia" w:ascii="Times New Roman" w:hAnsi="Times New Roman" w:eastAsia="宋体" w:cs="Times New Roman"/>
                <w:color w:val="auto"/>
                <w:sz w:val="21"/>
                <w:szCs w:val="21"/>
              </w:rPr>
              <w:t>日监测单位对福田康明斯</w:t>
            </w:r>
            <w:r>
              <w:rPr>
                <w:rFonts w:hint="eastAsia" w:ascii="Times New Roman" w:hAnsi="Times New Roman" w:eastAsia="宋体" w:cs="Times New Roman"/>
                <w:color w:val="auto"/>
                <w:sz w:val="21"/>
                <w:szCs w:val="21"/>
                <w:lang w:eastAsia="zh-Hans"/>
              </w:rPr>
              <w:t>公司</w:t>
            </w:r>
            <w:r>
              <w:rPr>
                <w:rFonts w:hint="eastAsia" w:ascii="Times New Roman" w:hAnsi="Times New Roman" w:eastAsia="宋体" w:cs="Times New Roman"/>
                <w:color w:val="auto"/>
                <w:sz w:val="21"/>
                <w:szCs w:val="21"/>
              </w:rPr>
              <w:t>厂界噪声进行了监测，根据中冶检测认证有限公司出具的检测报告（报告编号：ZYJC-HJ-JC-T-2022-2122</w:t>
            </w:r>
            <w:r>
              <w:rPr>
                <w:rFonts w:hint="eastAsia" w:ascii="Times New Roman" w:hAnsi="Times New Roman" w:eastAsia="宋体" w:cs="Times New Roman"/>
                <w:color w:val="auto"/>
                <w:sz w:val="21"/>
                <w:szCs w:val="21"/>
                <w:lang w:eastAsia="zh-Hans"/>
              </w:rPr>
              <w:t>）</w:t>
            </w:r>
            <w:r>
              <w:rPr>
                <w:rFonts w:hint="eastAsia" w:ascii="Times New Roman" w:hAnsi="Times New Roman" w:eastAsia="宋体" w:cs="Times New Roman"/>
                <w:color w:val="auto"/>
                <w:sz w:val="21"/>
                <w:szCs w:val="21"/>
              </w:rPr>
              <w:t>，噪声监测</w:t>
            </w:r>
            <w:r>
              <w:rPr>
                <w:rFonts w:hint="eastAsia" w:ascii="Times New Roman" w:hAnsi="Times New Roman" w:eastAsia="宋体" w:cs="Times New Roman"/>
                <w:color w:val="auto"/>
                <w:sz w:val="21"/>
                <w:szCs w:val="21"/>
                <w:lang w:eastAsia="zh-Hans"/>
              </w:rPr>
              <w:t>点位见图</w:t>
            </w:r>
            <w:r>
              <w:rPr>
                <w:rFonts w:ascii="Times New Roman" w:hAnsi="Times New Roman" w:eastAsia="宋体" w:cs="Times New Roman"/>
                <w:color w:val="auto"/>
                <w:sz w:val="21"/>
                <w:szCs w:val="21"/>
                <w:lang w:eastAsia="zh-Hans"/>
              </w:rPr>
              <w:t>6-2</w:t>
            </w:r>
            <w:r>
              <w:rPr>
                <w:rFonts w:hint="eastAsia" w:ascii="Times New Roman" w:hAnsi="Times New Roman" w:eastAsia="宋体" w:cs="Times New Roman"/>
                <w:color w:val="auto"/>
                <w:sz w:val="21"/>
                <w:szCs w:val="21"/>
                <w:lang w:eastAsia="zh-Hans"/>
              </w:rPr>
              <w:t>，监测</w:t>
            </w:r>
            <w:r>
              <w:rPr>
                <w:rFonts w:hint="eastAsia" w:ascii="Times New Roman" w:hAnsi="Times New Roman" w:eastAsia="宋体" w:cs="Times New Roman"/>
                <w:color w:val="auto"/>
                <w:sz w:val="21"/>
                <w:szCs w:val="21"/>
              </w:rPr>
              <w:t>结果见表7-</w:t>
            </w:r>
            <w:r>
              <w:rPr>
                <w:rFonts w:ascii="Times New Roman" w:hAnsi="Times New Roman" w:eastAsia="宋体" w:cs="Times New Roman"/>
                <w:color w:val="auto"/>
                <w:sz w:val="21"/>
                <w:szCs w:val="21"/>
              </w:rPr>
              <w:t>2</w:t>
            </w:r>
            <w:r>
              <w:rPr>
                <w:rFonts w:hint="eastAsia" w:ascii="Times New Roman" w:hAnsi="Times New Roman" w:eastAsia="宋体" w:cs="Times New Roman"/>
                <w:color w:val="auto"/>
                <w:sz w:val="21"/>
                <w:szCs w:val="21"/>
              </w:rPr>
              <w:t>。</w:t>
            </w:r>
            <w:bookmarkStart w:id="9" w:name="_Hlk535845755"/>
            <w:bookmarkEnd w:id="9"/>
          </w:p>
          <w:p>
            <w:pPr>
              <w:spacing w:after="0"/>
              <w:jc w:val="center"/>
              <w:rPr>
                <w:rFonts w:ascii="Times New Roman" w:hAnsi="Times New Roman" w:eastAsia="黑体" w:cs="Times New Roman"/>
                <w:color w:val="auto"/>
                <w:sz w:val="21"/>
                <w:szCs w:val="21"/>
              </w:rPr>
            </w:pPr>
          </w:p>
          <w:p>
            <w:pPr>
              <w:spacing w:after="0"/>
              <w:jc w:val="center"/>
              <w:rPr>
                <w:rFonts w:ascii="Times New Roman" w:hAnsi="Times New Roman" w:eastAsia="黑体" w:cs="Times New Roman"/>
                <w:color w:val="auto"/>
                <w:sz w:val="21"/>
                <w:szCs w:val="21"/>
              </w:rPr>
            </w:pPr>
          </w:p>
          <w:p>
            <w:pPr>
              <w:spacing w:after="0"/>
              <w:jc w:val="center"/>
              <w:rPr>
                <w:rFonts w:ascii="Times New Roman" w:hAnsi="Times New Roman" w:eastAsia="宋体" w:cs="Times New Roman"/>
                <w:b/>
                <w:color w:val="auto"/>
                <w:kern w:val="2"/>
                <w:sz w:val="21"/>
                <w:szCs w:val="21"/>
              </w:rPr>
            </w:pPr>
            <w:r>
              <w:rPr>
                <w:rFonts w:hint="eastAsia" w:ascii="Times New Roman" w:hAnsi="Times New Roman" w:eastAsia="黑体" w:cs="Times New Roman"/>
                <w:color w:val="auto"/>
                <w:sz w:val="21"/>
                <w:szCs w:val="21"/>
              </w:rPr>
              <w:t>表7-</w:t>
            </w:r>
            <w:r>
              <w:rPr>
                <w:rFonts w:ascii="Times New Roman" w:hAnsi="Times New Roman" w:eastAsia="黑体" w:cs="Times New Roman"/>
                <w:color w:val="auto"/>
                <w:sz w:val="21"/>
                <w:szCs w:val="21"/>
              </w:rPr>
              <w:t>2</w:t>
            </w:r>
            <w:r>
              <w:rPr>
                <w:rFonts w:hint="eastAsia" w:ascii="Times New Roman" w:hAnsi="Times New Roman" w:eastAsia="黑体" w:cs="Times New Roman"/>
                <w:color w:val="auto"/>
                <w:sz w:val="21"/>
                <w:szCs w:val="21"/>
              </w:rPr>
              <w:t xml:space="preserve"> 噪声监测结果</w:t>
            </w:r>
          </w:p>
          <w:tbl>
            <w:tblPr>
              <w:tblStyle w:val="18"/>
              <w:tblW w:w="4832"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4"/>
              <w:gridCol w:w="1919"/>
              <w:gridCol w:w="902"/>
              <w:gridCol w:w="856"/>
              <w:gridCol w:w="864"/>
              <w:gridCol w:w="873"/>
              <w:gridCol w:w="847"/>
              <w:gridCol w:w="984"/>
              <w:gridCol w:w="63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311" w:type="pct"/>
                  <w:vMerge w:val="restart"/>
                  <w:vAlign w:val="center"/>
                </w:tcPr>
                <w:p>
                  <w:pPr>
                    <w:spacing w:after="0"/>
                    <w:jc w:val="center"/>
                    <w:rPr>
                      <w:rFonts w:ascii="Times New Roman" w:hAnsi="Times New Roman" w:eastAsia="宋体" w:cs="Times New Roman"/>
                      <w:color w:val="auto"/>
                      <w:sz w:val="18"/>
                      <w:szCs w:val="18"/>
                    </w:rPr>
                  </w:pPr>
                  <w:bookmarkStart w:id="10" w:name="_Hlk536121750"/>
                  <w:r>
                    <w:rPr>
                      <w:rFonts w:hint="eastAsia" w:ascii="Times New Roman" w:hAnsi="Times New Roman" w:eastAsia="宋体" w:cs="Times New Roman"/>
                      <w:color w:val="auto"/>
                      <w:sz w:val="18"/>
                      <w:szCs w:val="18"/>
                    </w:rPr>
                    <w:t>序号</w:t>
                  </w:r>
                </w:p>
              </w:tc>
              <w:tc>
                <w:tcPr>
                  <w:tcW w:w="1141" w:type="pct"/>
                  <w:vMerge w:val="restar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监测点位</w:t>
                  </w:r>
                </w:p>
              </w:tc>
              <w:tc>
                <w:tcPr>
                  <w:tcW w:w="536" w:type="pct"/>
                  <w:vMerge w:val="restar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监测</w:t>
                  </w:r>
                </w:p>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Hans"/>
                    </w:rPr>
                    <w:t>时段</w:t>
                  </w:r>
                </w:p>
              </w:tc>
              <w:tc>
                <w:tcPr>
                  <w:tcW w:w="2046"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监测结果dB（A）</w:t>
                  </w:r>
                </w:p>
              </w:tc>
              <w:tc>
                <w:tcPr>
                  <w:tcW w:w="585" w:type="pct"/>
                  <w:vMerge w:val="restar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标准限值</w:t>
                  </w:r>
                </w:p>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dB（A）</w:t>
                  </w:r>
                </w:p>
              </w:tc>
              <w:tc>
                <w:tcPr>
                  <w:tcW w:w="378" w:type="pct"/>
                  <w:vMerge w:val="restar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达标情况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311" w:type="pct"/>
                  <w:vMerge w:val="continue"/>
                  <w:vAlign w:val="center"/>
                </w:tcPr>
                <w:p>
                  <w:pPr>
                    <w:spacing w:after="0"/>
                    <w:jc w:val="center"/>
                    <w:rPr>
                      <w:rFonts w:ascii="Times New Roman" w:hAnsi="Times New Roman" w:eastAsia="宋体" w:cs="Times New Roman"/>
                      <w:b/>
                      <w:color w:val="auto"/>
                      <w:sz w:val="18"/>
                      <w:szCs w:val="18"/>
                    </w:rPr>
                  </w:pPr>
                </w:p>
              </w:tc>
              <w:tc>
                <w:tcPr>
                  <w:tcW w:w="1141" w:type="pct"/>
                  <w:vMerge w:val="continue"/>
                  <w:vAlign w:val="center"/>
                </w:tcPr>
                <w:p>
                  <w:pPr>
                    <w:spacing w:after="0"/>
                    <w:jc w:val="center"/>
                    <w:rPr>
                      <w:rFonts w:ascii="Times New Roman" w:hAnsi="Times New Roman" w:eastAsia="宋体" w:cs="Times New Roman"/>
                      <w:b/>
                      <w:color w:val="auto"/>
                      <w:sz w:val="18"/>
                      <w:szCs w:val="18"/>
                    </w:rPr>
                  </w:pPr>
                </w:p>
              </w:tc>
              <w:tc>
                <w:tcPr>
                  <w:tcW w:w="536" w:type="pct"/>
                  <w:vMerge w:val="continue"/>
                  <w:vAlign w:val="center"/>
                </w:tcPr>
                <w:p>
                  <w:pPr>
                    <w:spacing w:after="0"/>
                    <w:jc w:val="center"/>
                    <w:rPr>
                      <w:rFonts w:ascii="Times New Roman" w:hAnsi="Times New Roman" w:eastAsia="宋体" w:cs="Times New Roman"/>
                      <w:b/>
                      <w:color w:val="auto"/>
                      <w:sz w:val="18"/>
                      <w:szCs w:val="18"/>
                    </w:rPr>
                  </w:pPr>
                </w:p>
              </w:tc>
              <w:tc>
                <w:tcPr>
                  <w:tcW w:w="1023" w:type="pct"/>
                  <w:gridSpan w:val="2"/>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5月</w:t>
                  </w:r>
                  <w:r>
                    <w:rPr>
                      <w:rFonts w:ascii="Times New Roman" w:hAnsi="Times New Roman" w:eastAsia="宋体" w:cs="Times New Roman"/>
                      <w:color w:val="auto"/>
                      <w:sz w:val="18"/>
                      <w:szCs w:val="18"/>
                    </w:rPr>
                    <w:t>31</w:t>
                  </w:r>
                  <w:r>
                    <w:rPr>
                      <w:rFonts w:hint="eastAsia" w:ascii="Times New Roman" w:hAnsi="Times New Roman" w:eastAsia="宋体" w:cs="Times New Roman"/>
                      <w:color w:val="auto"/>
                      <w:sz w:val="18"/>
                      <w:szCs w:val="18"/>
                    </w:rPr>
                    <w:t>日</w:t>
                  </w:r>
                </w:p>
              </w:tc>
              <w:tc>
                <w:tcPr>
                  <w:tcW w:w="1023" w:type="pct"/>
                  <w:gridSpan w:val="2"/>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6</w:t>
                  </w:r>
                  <w:r>
                    <w:rPr>
                      <w:rFonts w:hint="eastAsia" w:ascii="Times New Roman" w:hAnsi="Times New Roman" w:eastAsia="宋体" w:cs="Times New Roman"/>
                      <w:color w:val="auto"/>
                      <w:sz w:val="18"/>
                      <w:szCs w:val="18"/>
                    </w:rPr>
                    <w:t>月</w:t>
                  </w:r>
                  <w:r>
                    <w:rPr>
                      <w:rFonts w:ascii="Times New Roman" w:hAnsi="Times New Roman" w:eastAsia="宋体" w:cs="Times New Roman"/>
                      <w:color w:val="auto"/>
                      <w:sz w:val="18"/>
                      <w:szCs w:val="18"/>
                    </w:rPr>
                    <w:t>1</w:t>
                  </w:r>
                  <w:r>
                    <w:rPr>
                      <w:rFonts w:hint="eastAsia" w:ascii="Times New Roman" w:hAnsi="Times New Roman" w:eastAsia="宋体" w:cs="Times New Roman"/>
                      <w:color w:val="auto"/>
                      <w:sz w:val="18"/>
                      <w:szCs w:val="18"/>
                    </w:rPr>
                    <w:t>日</w:t>
                  </w:r>
                </w:p>
              </w:tc>
              <w:tc>
                <w:tcPr>
                  <w:tcW w:w="585" w:type="pct"/>
                  <w:vMerge w:val="continue"/>
                  <w:vAlign w:val="center"/>
                </w:tcPr>
                <w:p>
                  <w:pPr>
                    <w:spacing w:after="0"/>
                    <w:jc w:val="center"/>
                    <w:rPr>
                      <w:rFonts w:ascii="Times New Roman" w:hAnsi="Times New Roman" w:eastAsia="宋体" w:cs="Times New Roman"/>
                      <w:b/>
                      <w:color w:val="auto"/>
                      <w:sz w:val="18"/>
                      <w:szCs w:val="18"/>
                    </w:rPr>
                  </w:pPr>
                </w:p>
              </w:tc>
              <w:tc>
                <w:tcPr>
                  <w:tcW w:w="378" w:type="pct"/>
                  <w:vMerge w:val="continue"/>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311" w:type="pct"/>
                  <w:vMerge w:val="continue"/>
                  <w:vAlign w:val="center"/>
                </w:tcPr>
                <w:p>
                  <w:pPr>
                    <w:spacing w:after="0"/>
                    <w:jc w:val="center"/>
                    <w:rPr>
                      <w:rFonts w:ascii="Times New Roman" w:hAnsi="Times New Roman" w:eastAsia="宋体" w:cs="Times New Roman"/>
                      <w:b/>
                      <w:color w:val="auto"/>
                      <w:sz w:val="18"/>
                      <w:szCs w:val="18"/>
                    </w:rPr>
                  </w:pPr>
                </w:p>
              </w:tc>
              <w:tc>
                <w:tcPr>
                  <w:tcW w:w="1141" w:type="pct"/>
                  <w:vMerge w:val="continue"/>
                  <w:vAlign w:val="center"/>
                </w:tcPr>
                <w:p>
                  <w:pPr>
                    <w:spacing w:after="0"/>
                    <w:jc w:val="center"/>
                    <w:rPr>
                      <w:rFonts w:ascii="Times New Roman" w:hAnsi="Times New Roman" w:eastAsia="宋体" w:cs="Times New Roman"/>
                      <w:b/>
                      <w:color w:val="auto"/>
                      <w:sz w:val="18"/>
                      <w:szCs w:val="18"/>
                    </w:rPr>
                  </w:pPr>
                </w:p>
              </w:tc>
              <w:tc>
                <w:tcPr>
                  <w:tcW w:w="536" w:type="pct"/>
                  <w:vMerge w:val="continue"/>
                  <w:vAlign w:val="center"/>
                </w:tcPr>
                <w:p>
                  <w:pPr>
                    <w:spacing w:after="0"/>
                    <w:jc w:val="center"/>
                    <w:rPr>
                      <w:rFonts w:ascii="Times New Roman" w:hAnsi="Times New Roman" w:eastAsia="宋体" w:cs="Times New Roman"/>
                      <w:b/>
                      <w:color w:val="auto"/>
                      <w:sz w:val="18"/>
                      <w:szCs w:val="18"/>
                    </w:rPr>
                  </w:pPr>
                </w:p>
              </w:tc>
              <w:tc>
                <w:tcPr>
                  <w:tcW w:w="509" w:type="pct"/>
                  <w:vAlign w:val="center"/>
                </w:tcPr>
                <w:p>
                  <w:pPr>
                    <w:spacing w:after="0"/>
                    <w:jc w:val="center"/>
                    <w:rPr>
                      <w:rFonts w:ascii="Times New Roman" w:hAnsi="Times New Roman" w:eastAsia="宋体" w:cs="Times New Roman"/>
                      <w:color w:val="auto"/>
                      <w:sz w:val="18"/>
                      <w:szCs w:val="18"/>
                      <w:lang w:eastAsia="zh-Hans"/>
                    </w:rPr>
                  </w:pPr>
                  <w:r>
                    <w:rPr>
                      <w:rFonts w:hint="eastAsia" w:ascii="Times New Roman" w:hAnsi="Times New Roman" w:eastAsia="宋体" w:cs="Times New Roman"/>
                      <w:color w:val="auto"/>
                      <w:sz w:val="18"/>
                      <w:szCs w:val="18"/>
                      <w:lang w:eastAsia="zh-Hans"/>
                    </w:rPr>
                    <w:t>第一次</w:t>
                  </w:r>
                </w:p>
              </w:tc>
              <w:tc>
                <w:tcPr>
                  <w:tcW w:w="513" w:type="pct"/>
                  <w:vAlign w:val="center"/>
                </w:tcPr>
                <w:p>
                  <w:pPr>
                    <w:spacing w:after="0"/>
                    <w:jc w:val="center"/>
                    <w:rPr>
                      <w:rFonts w:ascii="Times New Roman" w:hAnsi="Times New Roman" w:eastAsia="宋体" w:cs="Times New Roman"/>
                      <w:color w:val="auto"/>
                      <w:sz w:val="18"/>
                      <w:szCs w:val="18"/>
                      <w:lang w:eastAsia="zh-Hans"/>
                    </w:rPr>
                  </w:pPr>
                  <w:r>
                    <w:rPr>
                      <w:rFonts w:hint="eastAsia" w:ascii="Times New Roman" w:hAnsi="Times New Roman" w:eastAsia="宋体" w:cs="Times New Roman"/>
                      <w:color w:val="auto"/>
                      <w:sz w:val="18"/>
                      <w:szCs w:val="18"/>
                      <w:lang w:eastAsia="zh-Hans"/>
                    </w:rPr>
                    <w:t>第二次</w:t>
                  </w:r>
                </w:p>
              </w:tc>
              <w:tc>
                <w:tcPr>
                  <w:tcW w:w="519" w:type="pct"/>
                  <w:vAlign w:val="center"/>
                </w:tcPr>
                <w:p>
                  <w:pPr>
                    <w:spacing w:after="0"/>
                    <w:jc w:val="center"/>
                    <w:rPr>
                      <w:rFonts w:ascii="Times New Roman" w:hAnsi="Times New Roman" w:eastAsia="宋体" w:cs="Times New Roman"/>
                      <w:color w:val="auto"/>
                      <w:sz w:val="18"/>
                      <w:szCs w:val="18"/>
                      <w:lang w:eastAsia="zh-Hans"/>
                    </w:rPr>
                  </w:pPr>
                  <w:r>
                    <w:rPr>
                      <w:rFonts w:hint="eastAsia" w:ascii="Times New Roman" w:hAnsi="Times New Roman" w:eastAsia="宋体" w:cs="Times New Roman"/>
                      <w:color w:val="auto"/>
                      <w:sz w:val="18"/>
                      <w:szCs w:val="18"/>
                      <w:lang w:eastAsia="zh-Hans"/>
                    </w:rPr>
                    <w:t>第一次</w:t>
                  </w:r>
                </w:p>
              </w:tc>
              <w:tc>
                <w:tcPr>
                  <w:tcW w:w="503" w:type="pct"/>
                  <w:vAlign w:val="center"/>
                </w:tcPr>
                <w:p>
                  <w:pPr>
                    <w:spacing w:after="0"/>
                    <w:jc w:val="center"/>
                    <w:rPr>
                      <w:rFonts w:ascii="Times New Roman" w:hAnsi="Times New Roman" w:eastAsia="宋体" w:cs="Times New Roman"/>
                      <w:color w:val="auto"/>
                      <w:sz w:val="18"/>
                      <w:szCs w:val="18"/>
                      <w:lang w:eastAsia="zh-Hans"/>
                    </w:rPr>
                  </w:pPr>
                  <w:r>
                    <w:rPr>
                      <w:rFonts w:hint="eastAsia" w:ascii="Times New Roman" w:hAnsi="Times New Roman" w:eastAsia="宋体" w:cs="Times New Roman"/>
                      <w:color w:val="auto"/>
                      <w:sz w:val="18"/>
                      <w:szCs w:val="18"/>
                      <w:lang w:eastAsia="zh-Hans"/>
                    </w:rPr>
                    <w:t>第二次</w:t>
                  </w:r>
                </w:p>
              </w:tc>
              <w:tc>
                <w:tcPr>
                  <w:tcW w:w="585" w:type="pct"/>
                  <w:vMerge w:val="continue"/>
                  <w:vAlign w:val="center"/>
                </w:tcPr>
                <w:p>
                  <w:pPr>
                    <w:spacing w:after="0"/>
                    <w:jc w:val="center"/>
                    <w:rPr>
                      <w:rFonts w:ascii="Times New Roman" w:hAnsi="Times New Roman" w:eastAsia="宋体" w:cs="Times New Roman"/>
                      <w:b/>
                      <w:color w:val="auto"/>
                      <w:sz w:val="18"/>
                      <w:szCs w:val="18"/>
                    </w:rPr>
                  </w:pPr>
                </w:p>
              </w:tc>
              <w:tc>
                <w:tcPr>
                  <w:tcW w:w="378" w:type="pct"/>
                  <w:vMerge w:val="continue"/>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31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1</w:t>
                  </w:r>
                </w:p>
              </w:tc>
              <w:tc>
                <w:tcPr>
                  <w:tcW w:w="114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eastAsia="zh-Hans"/>
                    </w:rPr>
                    <w:t>东</w:t>
                  </w:r>
                  <w:r>
                    <w:rPr>
                      <w:rFonts w:hint="eastAsia" w:ascii="Times New Roman" w:hAnsi="Times New Roman" w:eastAsia="宋体" w:cs="Times New Roman"/>
                      <w:bCs/>
                      <w:color w:val="auto"/>
                      <w:sz w:val="18"/>
                      <w:szCs w:val="18"/>
                    </w:rPr>
                    <w:t>厂界</w:t>
                  </w:r>
                  <w:r>
                    <w:rPr>
                      <w:rFonts w:hint="eastAsia" w:ascii="Times New Roman" w:hAnsi="Times New Roman" w:eastAsia="宋体" w:cs="Times New Roman"/>
                      <w:bCs/>
                      <w:color w:val="auto"/>
                      <w:sz w:val="18"/>
                      <w:szCs w:val="18"/>
                      <w:lang w:eastAsia="zh-Hans"/>
                    </w:rPr>
                    <w:t>内</w:t>
                  </w:r>
                  <w:r>
                    <w:rPr>
                      <w:rFonts w:ascii="Times New Roman" w:hAnsi="Times New Roman" w:eastAsia="宋体" w:cs="Times New Roman"/>
                      <w:bCs/>
                      <w:color w:val="auto"/>
                      <w:sz w:val="18"/>
                      <w:szCs w:val="18"/>
                      <w:lang w:eastAsia="zh-Hans"/>
                    </w:rPr>
                    <w:t>1m</w:t>
                  </w:r>
                  <w:r>
                    <w:rPr>
                      <w:rFonts w:hint="eastAsia" w:ascii="Times New Roman" w:hAnsi="Times New Roman" w:eastAsia="宋体" w:cs="Times New Roman"/>
                      <w:bCs/>
                      <w:color w:val="auto"/>
                      <w:sz w:val="18"/>
                      <w:szCs w:val="18"/>
                      <w:lang w:eastAsia="zh-Hans"/>
                    </w:rPr>
                    <w:t>（</w:t>
                  </w:r>
                  <w:r>
                    <w:rPr>
                      <w:rFonts w:ascii="Times New Roman" w:hAnsi="Times New Roman" w:eastAsia="宋体" w:cs="Times New Roman"/>
                      <w:bCs/>
                      <w:color w:val="auto"/>
                      <w:sz w:val="24"/>
                      <w:szCs w:val="24"/>
                      <w:lang w:eastAsia="zh-Hans"/>
                    </w:rPr>
                    <w:t>■</w:t>
                  </w:r>
                  <w:r>
                    <w:rPr>
                      <w:rFonts w:hint="eastAsia" w:ascii="Times New Roman" w:hAnsi="Times New Roman" w:eastAsia="宋体" w:cs="Times New Roman"/>
                      <w:bCs/>
                      <w:color w:val="auto"/>
                      <w:sz w:val="18"/>
                      <w:szCs w:val="18"/>
                    </w:rPr>
                    <w:t>1</w:t>
                  </w:r>
                  <w:r>
                    <w:rPr>
                      <w:rFonts w:hint="eastAsia" w:ascii="Times New Roman" w:hAnsi="Times New Roman" w:eastAsia="宋体" w:cs="Times New Roman"/>
                      <w:bCs/>
                      <w:color w:val="auto"/>
                      <w:sz w:val="18"/>
                      <w:szCs w:val="18"/>
                      <w:lang w:eastAsia="zh-Hans"/>
                    </w:rPr>
                    <w:t>）</w:t>
                  </w:r>
                </w:p>
              </w:tc>
              <w:tc>
                <w:tcPr>
                  <w:tcW w:w="5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昼间</w:t>
                  </w:r>
                </w:p>
              </w:tc>
              <w:tc>
                <w:tcPr>
                  <w:tcW w:w="50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63</w:t>
                  </w:r>
                </w:p>
              </w:tc>
              <w:tc>
                <w:tcPr>
                  <w:tcW w:w="51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64</w:t>
                  </w:r>
                </w:p>
              </w:tc>
              <w:tc>
                <w:tcPr>
                  <w:tcW w:w="51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64</w:t>
                  </w:r>
                </w:p>
              </w:tc>
              <w:tc>
                <w:tcPr>
                  <w:tcW w:w="50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62</w:t>
                  </w:r>
                </w:p>
              </w:tc>
              <w:tc>
                <w:tcPr>
                  <w:tcW w:w="585" w:type="pct"/>
                  <w:vMerge w:val="restar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65</w:t>
                  </w:r>
                </w:p>
              </w:tc>
              <w:tc>
                <w:tcPr>
                  <w:tcW w:w="37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31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2</w:t>
                  </w:r>
                </w:p>
              </w:tc>
              <w:tc>
                <w:tcPr>
                  <w:tcW w:w="114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eastAsia="zh-Hans"/>
                    </w:rPr>
                    <w:t>南</w:t>
                  </w:r>
                  <w:r>
                    <w:rPr>
                      <w:rFonts w:hint="eastAsia" w:ascii="Times New Roman" w:hAnsi="Times New Roman" w:eastAsia="宋体" w:cs="Times New Roman"/>
                      <w:bCs/>
                      <w:color w:val="auto"/>
                      <w:sz w:val="18"/>
                      <w:szCs w:val="18"/>
                    </w:rPr>
                    <w:t>厂界</w:t>
                  </w:r>
                  <w:r>
                    <w:rPr>
                      <w:rFonts w:hint="eastAsia" w:ascii="Times New Roman" w:hAnsi="Times New Roman" w:eastAsia="宋体" w:cs="Times New Roman"/>
                      <w:bCs/>
                      <w:color w:val="auto"/>
                      <w:sz w:val="18"/>
                      <w:szCs w:val="18"/>
                      <w:lang w:eastAsia="zh-Hans"/>
                    </w:rPr>
                    <w:t>外</w:t>
                  </w:r>
                  <w:r>
                    <w:rPr>
                      <w:rFonts w:ascii="Times New Roman" w:hAnsi="Times New Roman" w:eastAsia="宋体" w:cs="Times New Roman"/>
                      <w:bCs/>
                      <w:color w:val="auto"/>
                      <w:sz w:val="18"/>
                      <w:szCs w:val="18"/>
                      <w:lang w:eastAsia="zh-Hans"/>
                    </w:rPr>
                    <w:t>1m</w:t>
                  </w:r>
                  <w:r>
                    <w:rPr>
                      <w:rFonts w:hint="eastAsia" w:ascii="Times New Roman" w:hAnsi="Times New Roman" w:eastAsia="宋体" w:cs="Times New Roman"/>
                      <w:bCs/>
                      <w:color w:val="auto"/>
                      <w:sz w:val="18"/>
                      <w:szCs w:val="18"/>
                      <w:lang w:eastAsia="zh-Hans"/>
                    </w:rPr>
                    <w:t>（</w:t>
                  </w:r>
                  <w:r>
                    <w:rPr>
                      <w:rFonts w:ascii="Times New Roman" w:hAnsi="Times New Roman" w:eastAsia="宋体" w:cs="Times New Roman"/>
                      <w:bCs/>
                      <w:color w:val="auto"/>
                      <w:sz w:val="24"/>
                      <w:szCs w:val="24"/>
                      <w:lang w:eastAsia="zh-Hans"/>
                    </w:rPr>
                    <w:t>■</w:t>
                  </w:r>
                  <w:r>
                    <w:rPr>
                      <w:rFonts w:ascii="Times New Roman" w:hAnsi="Times New Roman" w:eastAsia="宋体" w:cs="Times New Roman"/>
                      <w:bCs/>
                      <w:color w:val="auto"/>
                      <w:sz w:val="18"/>
                      <w:szCs w:val="18"/>
                    </w:rPr>
                    <w:t>2</w:t>
                  </w:r>
                  <w:r>
                    <w:rPr>
                      <w:rFonts w:hint="eastAsia" w:ascii="Times New Roman" w:hAnsi="Times New Roman" w:eastAsia="宋体" w:cs="Times New Roman"/>
                      <w:bCs/>
                      <w:color w:val="auto"/>
                      <w:sz w:val="18"/>
                      <w:szCs w:val="18"/>
                      <w:lang w:eastAsia="zh-Hans"/>
                    </w:rPr>
                    <w:t>）</w:t>
                  </w:r>
                </w:p>
              </w:tc>
              <w:tc>
                <w:tcPr>
                  <w:tcW w:w="5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昼间</w:t>
                  </w:r>
                </w:p>
              </w:tc>
              <w:tc>
                <w:tcPr>
                  <w:tcW w:w="50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60</w:t>
                  </w:r>
                </w:p>
              </w:tc>
              <w:tc>
                <w:tcPr>
                  <w:tcW w:w="51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60</w:t>
                  </w:r>
                </w:p>
              </w:tc>
              <w:tc>
                <w:tcPr>
                  <w:tcW w:w="51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59</w:t>
                  </w:r>
                </w:p>
              </w:tc>
              <w:tc>
                <w:tcPr>
                  <w:tcW w:w="50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59</w:t>
                  </w:r>
                </w:p>
              </w:tc>
              <w:tc>
                <w:tcPr>
                  <w:tcW w:w="585" w:type="pct"/>
                  <w:vMerge w:val="continue"/>
                  <w:vAlign w:val="center"/>
                </w:tcPr>
                <w:p>
                  <w:pPr>
                    <w:spacing w:after="0"/>
                    <w:jc w:val="center"/>
                    <w:rPr>
                      <w:rFonts w:ascii="Times New Roman" w:hAnsi="Times New Roman" w:eastAsia="宋体" w:cs="Times New Roman"/>
                      <w:bCs/>
                      <w:color w:val="auto"/>
                      <w:sz w:val="18"/>
                      <w:szCs w:val="18"/>
                    </w:rPr>
                  </w:pPr>
                </w:p>
              </w:tc>
              <w:tc>
                <w:tcPr>
                  <w:tcW w:w="37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31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3</w:t>
                  </w:r>
                </w:p>
              </w:tc>
              <w:tc>
                <w:tcPr>
                  <w:tcW w:w="114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eastAsia="zh-Hans"/>
                    </w:rPr>
                    <w:t>西</w:t>
                  </w:r>
                  <w:r>
                    <w:rPr>
                      <w:rFonts w:hint="eastAsia" w:ascii="Times New Roman" w:hAnsi="Times New Roman" w:eastAsia="宋体" w:cs="Times New Roman"/>
                      <w:bCs/>
                      <w:color w:val="auto"/>
                      <w:sz w:val="18"/>
                      <w:szCs w:val="18"/>
                    </w:rPr>
                    <w:t>厂界</w:t>
                  </w:r>
                  <w:r>
                    <w:rPr>
                      <w:rFonts w:hint="eastAsia" w:ascii="Times New Roman" w:hAnsi="Times New Roman" w:eastAsia="宋体" w:cs="Times New Roman"/>
                      <w:bCs/>
                      <w:color w:val="auto"/>
                      <w:sz w:val="18"/>
                      <w:szCs w:val="18"/>
                      <w:lang w:eastAsia="zh-Hans"/>
                    </w:rPr>
                    <w:t>外</w:t>
                  </w:r>
                  <w:r>
                    <w:rPr>
                      <w:rFonts w:ascii="Times New Roman" w:hAnsi="Times New Roman" w:eastAsia="宋体" w:cs="Times New Roman"/>
                      <w:bCs/>
                      <w:color w:val="auto"/>
                      <w:sz w:val="18"/>
                      <w:szCs w:val="18"/>
                      <w:lang w:eastAsia="zh-Hans"/>
                    </w:rPr>
                    <w:t>1m</w:t>
                  </w:r>
                  <w:r>
                    <w:rPr>
                      <w:rFonts w:hint="eastAsia" w:ascii="Times New Roman" w:hAnsi="Times New Roman" w:eastAsia="宋体" w:cs="Times New Roman"/>
                      <w:bCs/>
                      <w:color w:val="auto"/>
                      <w:sz w:val="18"/>
                      <w:szCs w:val="18"/>
                      <w:lang w:eastAsia="zh-Hans"/>
                    </w:rPr>
                    <w:t>（</w:t>
                  </w:r>
                  <w:r>
                    <w:rPr>
                      <w:rFonts w:ascii="Times New Roman" w:hAnsi="Times New Roman" w:eastAsia="宋体" w:cs="Times New Roman"/>
                      <w:bCs/>
                      <w:color w:val="auto"/>
                      <w:sz w:val="24"/>
                      <w:szCs w:val="24"/>
                      <w:lang w:eastAsia="zh-Hans"/>
                    </w:rPr>
                    <w:t>■</w:t>
                  </w:r>
                  <w:r>
                    <w:rPr>
                      <w:rFonts w:ascii="Times New Roman" w:hAnsi="Times New Roman" w:eastAsia="宋体" w:cs="Times New Roman"/>
                      <w:bCs/>
                      <w:color w:val="auto"/>
                      <w:sz w:val="18"/>
                      <w:szCs w:val="18"/>
                    </w:rPr>
                    <w:t>3</w:t>
                  </w:r>
                  <w:r>
                    <w:rPr>
                      <w:rFonts w:hint="eastAsia" w:ascii="Times New Roman" w:hAnsi="Times New Roman" w:eastAsia="宋体" w:cs="Times New Roman"/>
                      <w:bCs/>
                      <w:color w:val="auto"/>
                      <w:sz w:val="18"/>
                      <w:szCs w:val="18"/>
                      <w:lang w:eastAsia="zh-Hans"/>
                    </w:rPr>
                    <w:t>）</w:t>
                  </w:r>
                </w:p>
              </w:tc>
              <w:tc>
                <w:tcPr>
                  <w:tcW w:w="5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昼间</w:t>
                  </w:r>
                </w:p>
              </w:tc>
              <w:tc>
                <w:tcPr>
                  <w:tcW w:w="50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62</w:t>
                  </w:r>
                </w:p>
              </w:tc>
              <w:tc>
                <w:tcPr>
                  <w:tcW w:w="51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60</w:t>
                  </w:r>
                </w:p>
              </w:tc>
              <w:tc>
                <w:tcPr>
                  <w:tcW w:w="51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61</w:t>
                  </w:r>
                </w:p>
              </w:tc>
              <w:tc>
                <w:tcPr>
                  <w:tcW w:w="50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62</w:t>
                  </w:r>
                </w:p>
              </w:tc>
              <w:tc>
                <w:tcPr>
                  <w:tcW w:w="585" w:type="pct"/>
                  <w:vMerge w:val="continue"/>
                  <w:vAlign w:val="center"/>
                </w:tcPr>
                <w:p>
                  <w:pPr>
                    <w:spacing w:after="0"/>
                    <w:jc w:val="center"/>
                    <w:rPr>
                      <w:rFonts w:ascii="Times New Roman" w:hAnsi="Times New Roman" w:eastAsia="宋体" w:cs="Times New Roman"/>
                      <w:bCs/>
                      <w:color w:val="auto"/>
                      <w:sz w:val="18"/>
                      <w:szCs w:val="18"/>
                    </w:rPr>
                  </w:pPr>
                </w:p>
              </w:tc>
              <w:tc>
                <w:tcPr>
                  <w:tcW w:w="37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31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4</w:t>
                  </w:r>
                </w:p>
              </w:tc>
              <w:tc>
                <w:tcPr>
                  <w:tcW w:w="1141"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lang w:eastAsia="zh-Hans"/>
                    </w:rPr>
                    <w:t>北</w:t>
                  </w:r>
                  <w:r>
                    <w:rPr>
                      <w:rFonts w:hint="eastAsia" w:ascii="Times New Roman" w:hAnsi="Times New Roman" w:eastAsia="宋体" w:cs="Times New Roman"/>
                      <w:bCs/>
                      <w:color w:val="auto"/>
                      <w:sz w:val="18"/>
                      <w:szCs w:val="18"/>
                    </w:rPr>
                    <w:t>厂界</w:t>
                  </w:r>
                  <w:r>
                    <w:rPr>
                      <w:rFonts w:hint="eastAsia" w:ascii="Times New Roman" w:hAnsi="Times New Roman" w:eastAsia="宋体" w:cs="Times New Roman"/>
                      <w:bCs/>
                      <w:color w:val="auto"/>
                      <w:sz w:val="18"/>
                      <w:szCs w:val="18"/>
                      <w:lang w:eastAsia="zh-Hans"/>
                    </w:rPr>
                    <w:t>内</w:t>
                  </w:r>
                  <w:r>
                    <w:rPr>
                      <w:rFonts w:ascii="Times New Roman" w:hAnsi="Times New Roman" w:eastAsia="宋体" w:cs="Times New Roman"/>
                      <w:bCs/>
                      <w:color w:val="auto"/>
                      <w:sz w:val="18"/>
                      <w:szCs w:val="18"/>
                      <w:lang w:eastAsia="zh-Hans"/>
                    </w:rPr>
                    <w:t>1m</w:t>
                  </w:r>
                  <w:r>
                    <w:rPr>
                      <w:rFonts w:hint="eastAsia" w:ascii="Times New Roman" w:hAnsi="Times New Roman" w:eastAsia="宋体" w:cs="Times New Roman"/>
                      <w:bCs/>
                      <w:color w:val="auto"/>
                      <w:sz w:val="18"/>
                      <w:szCs w:val="18"/>
                      <w:lang w:eastAsia="zh-Hans"/>
                    </w:rPr>
                    <w:t>（</w:t>
                  </w:r>
                  <w:r>
                    <w:rPr>
                      <w:rFonts w:ascii="Times New Roman" w:hAnsi="Times New Roman" w:eastAsia="宋体" w:cs="Times New Roman"/>
                      <w:bCs/>
                      <w:color w:val="auto"/>
                      <w:sz w:val="24"/>
                      <w:szCs w:val="24"/>
                      <w:lang w:eastAsia="zh-Hans"/>
                    </w:rPr>
                    <w:t>■</w:t>
                  </w:r>
                  <w:r>
                    <w:rPr>
                      <w:rFonts w:ascii="Times New Roman" w:hAnsi="Times New Roman" w:eastAsia="宋体" w:cs="Times New Roman"/>
                      <w:bCs/>
                      <w:color w:val="auto"/>
                      <w:sz w:val="18"/>
                      <w:szCs w:val="18"/>
                    </w:rPr>
                    <w:t>4</w:t>
                  </w:r>
                  <w:r>
                    <w:rPr>
                      <w:rFonts w:hint="eastAsia" w:ascii="Times New Roman" w:hAnsi="Times New Roman" w:eastAsia="宋体" w:cs="Times New Roman"/>
                      <w:bCs/>
                      <w:color w:val="auto"/>
                      <w:sz w:val="18"/>
                      <w:szCs w:val="18"/>
                      <w:lang w:eastAsia="zh-Hans"/>
                    </w:rPr>
                    <w:t>）</w:t>
                  </w:r>
                </w:p>
              </w:tc>
              <w:tc>
                <w:tcPr>
                  <w:tcW w:w="536"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昼间</w:t>
                  </w:r>
                </w:p>
              </w:tc>
              <w:tc>
                <w:tcPr>
                  <w:tcW w:w="50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62</w:t>
                  </w:r>
                </w:p>
              </w:tc>
              <w:tc>
                <w:tcPr>
                  <w:tcW w:w="51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60</w:t>
                  </w:r>
                </w:p>
              </w:tc>
              <w:tc>
                <w:tcPr>
                  <w:tcW w:w="519"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60</w:t>
                  </w:r>
                </w:p>
              </w:tc>
              <w:tc>
                <w:tcPr>
                  <w:tcW w:w="503"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60</w:t>
                  </w:r>
                </w:p>
              </w:tc>
              <w:tc>
                <w:tcPr>
                  <w:tcW w:w="585" w:type="pct"/>
                  <w:vMerge w:val="continue"/>
                  <w:vAlign w:val="center"/>
                </w:tcPr>
                <w:p>
                  <w:pPr>
                    <w:spacing w:after="0"/>
                    <w:jc w:val="center"/>
                    <w:rPr>
                      <w:rFonts w:ascii="Times New Roman" w:hAnsi="Times New Roman" w:eastAsia="宋体" w:cs="Times New Roman"/>
                      <w:bCs/>
                      <w:color w:val="auto"/>
                      <w:sz w:val="18"/>
                      <w:szCs w:val="18"/>
                    </w:rPr>
                  </w:pPr>
                </w:p>
              </w:tc>
              <w:tc>
                <w:tcPr>
                  <w:tcW w:w="378" w:type="pct"/>
                  <w:vAlign w:val="center"/>
                </w:tcPr>
                <w:p>
                  <w:pPr>
                    <w:spacing w:after="0"/>
                    <w:jc w:val="center"/>
                    <w:rPr>
                      <w:rFonts w:ascii="Times New Roman" w:hAnsi="Times New Roman" w:eastAsia="宋体" w:cs="Times New Roman"/>
                      <w:bCs/>
                      <w:color w:val="auto"/>
                      <w:sz w:val="18"/>
                      <w:szCs w:val="18"/>
                    </w:rPr>
                  </w:pPr>
                  <w:r>
                    <w:rPr>
                      <w:rFonts w:hint="eastAsia" w:ascii="Times New Roman" w:hAnsi="Times New Roman" w:eastAsia="宋体" w:cs="Times New Roman"/>
                      <w:bCs/>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5000" w:type="pct"/>
                  <w:gridSpan w:val="9"/>
                  <w:vAlign w:val="center"/>
                </w:tcPr>
                <w:p>
                  <w:pPr>
                    <w:spacing w:after="0"/>
                    <w:jc w:val="both"/>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pacing w:val="-2"/>
                      <w:sz w:val="18"/>
                      <w:szCs w:val="18"/>
                      <w:lang w:val="en-US" w:eastAsia="zh-CN"/>
                    </w:rPr>
                    <w:t>备注：现状东厂界现状为施工场地，北厂界与其他公司相连，不具备监测条件，因此在监测点位设在厂界内。</w:t>
                  </w:r>
                </w:p>
              </w:tc>
            </w:tr>
            <w:bookmarkEnd w:id="10"/>
          </w:tbl>
          <w:p>
            <w:pPr>
              <w:spacing w:after="0" w:line="5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由检测报告中的上表监测结果可知，</w:t>
            </w:r>
            <w:r>
              <w:rPr>
                <w:rFonts w:hint="eastAsia" w:ascii="Times New Roman" w:hAnsi="Times New Roman" w:eastAsia="宋体" w:cs="Times New Roman"/>
                <w:color w:val="auto"/>
                <w:sz w:val="21"/>
                <w:szCs w:val="21"/>
              </w:rPr>
              <w:t>福田康明斯</w:t>
            </w:r>
            <w:r>
              <w:rPr>
                <w:rFonts w:hint="eastAsia" w:ascii="Times New Roman" w:hAnsi="Times New Roman" w:eastAsia="宋体" w:cs="Times New Roman"/>
                <w:color w:val="auto"/>
                <w:sz w:val="21"/>
                <w:szCs w:val="21"/>
                <w:lang w:eastAsia="zh-Hans"/>
              </w:rPr>
              <w:t>公司</w:t>
            </w:r>
            <w:r>
              <w:rPr>
                <w:rFonts w:hint="eastAsia" w:ascii="Times New Roman" w:hAnsi="Times New Roman" w:eastAsia="宋体" w:cs="Times New Roman"/>
                <w:color w:val="auto"/>
                <w:sz w:val="21"/>
                <w:szCs w:val="21"/>
              </w:rPr>
              <w:t>厂界</w:t>
            </w:r>
            <w:r>
              <w:rPr>
                <w:rFonts w:hint="eastAsia" w:ascii="Times New Roman" w:hAnsi="Times New Roman" w:eastAsia="宋体" w:cs="Times New Roman"/>
                <w:color w:val="auto"/>
                <w:sz w:val="21"/>
                <w:szCs w:val="21"/>
                <w:lang w:eastAsia="zh-Hans"/>
              </w:rPr>
              <w:t>昼间</w:t>
            </w:r>
            <w:r>
              <w:rPr>
                <w:rFonts w:hint="eastAsia" w:ascii="Times New Roman" w:hAnsi="Times New Roman" w:eastAsia="宋体" w:cs="Times New Roman"/>
                <w:color w:val="auto"/>
                <w:sz w:val="21"/>
                <w:szCs w:val="21"/>
              </w:rPr>
              <w:t>噪声能够满足《工业企业厂界环境噪声排放标准》（GB12348-2008）中的3类标准[昼间65dB（A），夜间55dB（A）]。</w:t>
            </w:r>
          </w:p>
          <w:p>
            <w:pPr>
              <w:spacing w:after="0" w:line="560" w:lineRule="exact"/>
              <w:rPr>
                <w:rFonts w:ascii="Times New Roman" w:hAnsi="Times New Roman" w:eastAsia="宋体" w:cs="Times New Roman"/>
                <w:bCs/>
                <w:color w:val="auto"/>
                <w:sz w:val="21"/>
                <w:szCs w:val="21"/>
              </w:rPr>
            </w:pPr>
            <w:bookmarkStart w:id="11" w:name="_Toc536516980"/>
            <w:r>
              <w:rPr>
                <w:rFonts w:ascii="Times New Roman" w:hAnsi="Times New Roman" w:eastAsia="黑体" w:cs="Times New Roman"/>
                <w:color w:val="auto"/>
                <w:sz w:val="21"/>
                <w:szCs w:val="21"/>
              </w:rPr>
              <w:t>3</w:t>
            </w:r>
            <w:r>
              <w:rPr>
                <w:rFonts w:hint="eastAsia" w:ascii="Times New Roman" w:hAnsi="Times New Roman" w:eastAsia="黑体" w:cs="Times New Roman"/>
                <w:color w:val="auto"/>
                <w:sz w:val="21"/>
                <w:szCs w:val="21"/>
              </w:rPr>
              <w:t>. 污染物排放总量核算</w:t>
            </w:r>
            <w:bookmarkEnd w:id="11"/>
          </w:p>
          <w:p>
            <w:pPr>
              <w:spacing w:after="0" w:line="5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《北京福田康明斯发动机有限公司重型发动机工厂产能提升项目》已批复的废气总量指标为：挥发性有机物6143kg/a、氮氮化物6008kg/a、二氧化硫197kg/a、颗粒物4189kg/a。</w:t>
            </w:r>
          </w:p>
          <w:p>
            <w:pPr>
              <w:spacing w:after="0" w:line="560" w:lineRule="exact"/>
              <w:ind w:firstLine="420" w:firstLineChars="20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Hans"/>
              </w:rPr>
              <w:t>依据本次废气检测报告，本项目天然气发动机废气排放口主要污染物实际最大排放量分别为氮氧化物</w:t>
            </w:r>
            <w:r>
              <w:rPr>
                <w:rFonts w:hint="eastAsia" w:ascii="Times New Roman" w:hAnsi="Times New Roman" w:eastAsia="宋体" w:cs="Times New Roman"/>
                <w:color w:val="auto"/>
                <w:sz w:val="21"/>
                <w:szCs w:val="21"/>
              </w:rPr>
              <w:t>127</w:t>
            </w:r>
            <w:r>
              <w:rPr>
                <w:rFonts w:ascii="Times New Roman" w:hAnsi="Times New Roman" w:eastAsia="宋体" w:cs="Times New Roman"/>
                <w:color w:val="auto"/>
                <w:sz w:val="21"/>
                <w:szCs w:val="21"/>
                <w:lang w:eastAsia="zh-Hans"/>
              </w:rPr>
              <w:t>kg/a</w:t>
            </w:r>
            <w:r>
              <w:rPr>
                <w:rFonts w:hint="eastAsia" w:ascii="Times New Roman" w:hAnsi="Times New Roman" w:eastAsia="宋体" w:cs="Times New Roman"/>
                <w:color w:val="auto"/>
                <w:sz w:val="21"/>
                <w:szCs w:val="21"/>
                <w:lang w:eastAsia="zh-Hans"/>
              </w:rPr>
              <w:t>、非甲烷总烃</w:t>
            </w:r>
            <w:r>
              <w:rPr>
                <w:rFonts w:hint="eastAsia" w:ascii="Times New Roman" w:hAnsi="Times New Roman" w:eastAsia="宋体" w:cs="Times New Roman"/>
                <w:color w:val="auto"/>
                <w:sz w:val="21"/>
                <w:szCs w:val="21"/>
              </w:rPr>
              <w:t>24</w:t>
            </w:r>
            <w:r>
              <w:rPr>
                <w:rFonts w:ascii="Times New Roman" w:hAnsi="Times New Roman" w:eastAsia="宋体" w:cs="Times New Roman"/>
                <w:color w:val="auto"/>
                <w:sz w:val="21"/>
                <w:szCs w:val="21"/>
                <w:lang w:eastAsia="zh-Hans"/>
              </w:rPr>
              <w:t>kg/a</w:t>
            </w:r>
            <w:r>
              <w:rPr>
                <w:rFonts w:hint="eastAsia" w:ascii="Times New Roman" w:hAnsi="Times New Roman" w:eastAsia="宋体" w:cs="Times New Roman"/>
                <w:color w:val="auto"/>
                <w:sz w:val="21"/>
                <w:szCs w:val="21"/>
                <w:lang w:eastAsia="zh-Hans"/>
              </w:rPr>
              <w:t>、颗粒物</w:t>
            </w:r>
            <w:r>
              <w:rPr>
                <w:rFonts w:hint="eastAsia" w:ascii="Times New Roman" w:hAnsi="Times New Roman" w:eastAsia="宋体" w:cs="Times New Roman"/>
                <w:color w:val="auto"/>
                <w:sz w:val="21"/>
                <w:szCs w:val="21"/>
              </w:rPr>
              <w:t>8.9</w:t>
            </w:r>
            <w:r>
              <w:rPr>
                <w:rFonts w:hint="eastAsia" w:ascii="Times New Roman" w:hAnsi="Times New Roman" w:eastAsia="宋体" w:cs="Times New Roman"/>
                <w:color w:val="auto"/>
                <w:sz w:val="21"/>
                <w:szCs w:val="21"/>
                <w:lang w:eastAsia="zh-Hans"/>
              </w:rPr>
              <w:t>k</w:t>
            </w:r>
            <w:r>
              <w:rPr>
                <w:rFonts w:ascii="Times New Roman" w:hAnsi="Times New Roman" w:eastAsia="宋体" w:cs="Times New Roman"/>
                <w:color w:val="auto"/>
                <w:sz w:val="21"/>
                <w:szCs w:val="21"/>
                <w:lang w:eastAsia="zh-Hans"/>
              </w:rPr>
              <w:t>g/a</w:t>
            </w:r>
            <w:r>
              <w:rPr>
                <w:rFonts w:hint="eastAsia" w:ascii="Times New Roman" w:hAnsi="Times New Roman" w:eastAsia="宋体" w:cs="Times New Roman"/>
                <w:color w:val="auto"/>
                <w:sz w:val="21"/>
                <w:szCs w:val="21"/>
                <w:lang w:eastAsia="zh-Hans"/>
              </w:rPr>
              <w:t>，</w:t>
            </w:r>
            <w:r>
              <w:rPr>
                <w:rFonts w:hint="eastAsia" w:ascii="Times New Roman" w:hAnsi="Times New Roman" w:eastAsia="宋体" w:cs="Times New Roman"/>
                <w:color w:val="auto"/>
                <w:sz w:val="21"/>
                <w:szCs w:val="21"/>
              </w:rPr>
              <w:t>本项目包含在已批复</w:t>
            </w:r>
            <w:r>
              <w:rPr>
                <w:rFonts w:hint="eastAsia" w:ascii="Times New Roman" w:hAnsi="Times New Roman" w:eastAsia="宋体" w:cs="Times New Roman"/>
                <w:color w:val="auto"/>
                <w:sz w:val="21"/>
                <w:szCs w:val="21"/>
                <w:lang w:val="en-US" w:eastAsia="zh-CN"/>
              </w:rPr>
              <w:t>项目的</w:t>
            </w:r>
            <w:r>
              <w:rPr>
                <w:rFonts w:hint="eastAsia" w:ascii="Times New Roman" w:hAnsi="Times New Roman" w:eastAsia="宋体" w:cs="Times New Roman"/>
                <w:color w:val="auto"/>
                <w:sz w:val="21"/>
                <w:szCs w:val="21"/>
              </w:rPr>
              <w:t>总量中，待整体项目验收时一并核算污染物排放总量。</w:t>
            </w:r>
            <w:bookmarkStart w:id="15" w:name="_GoBack"/>
            <w:bookmarkEnd w:id="15"/>
          </w:p>
          <w:p>
            <w:pPr>
              <w:spacing w:after="0" w:line="560" w:lineRule="exact"/>
              <w:ind w:firstLine="420" w:firstLineChars="200"/>
              <w:rPr>
                <w:rFonts w:eastAsia="仿宋_GB2312"/>
                <w:color w:val="auto"/>
                <w:sz w:val="21"/>
                <w:szCs w:val="21"/>
              </w:rPr>
            </w:pPr>
            <w:r>
              <w:rPr>
                <w:rFonts w:hint="eastAsia" w:ascii="Times New Roman" w:hAnsi="Times New Roman" w:eastAsia="宋体" w:cs="Times New Roman"/>
                <w:color w:val="auto"/>
                <w:sz w:val="21"/>
                <w:szCs w:val="21"/>
              </w:rPr>
              <w:t>福田康明斯公司废水经处理达标后全部回用于厂区绿化、冲厕及道路清洁用水不排放，因此也不涉及废水总量控制指标</w:t>
            </w:r>
            <w:r>
              <w:rPr>
                <w:rFonts w:hint="eastAsia" w:ascii="Times New Roman" w:hAnsi="Times New Roman" w:eastAsia="宋体" w:cs="Times New Roman"/>
                <w:color w:val="auto"/>
                <w:sz w:val="21"/>
                <w:szCs w:val="21"/>
                <w:lang w:eastAsia="zh-Hans"/>
              </w:rPr>
              <w:t>。</w:t>
            </w:r>
          </w:p>
        </w:tc>
      </w:tr>
    </w:tbl>
    <w:p>
      <w:pPr>
        <w:spacing w:after="0" w:line="360" w:lineRule="auto"/>
        <w:rPr>
          <w:rFonts w:eastAsia="仿宋_GB2312"/>
          <w:b/>
          <w:color w:val="auto"/>
          <w:sz w:val="21"/>
          <w:szCs w:val="21"/>
        </w:rPr>
        <w:sectPr>
          <w:pgSz w:w="11906" w:h="16838"/>
          <w:pgMar w:top="1440" w:right="1800" w:bottom="1440" w:left="1800" w:header="708" w:footer="708" w:gutter="0"/>
          <w:cols w:space="720" w:num="1"/>
          <w:docGrid w:linePitch="360" w:charSpace="0"/>
        </w:sectPr>
      </w:pPr>
    </w:p>
    <w:p>
      <w:pPr>
        <w:spacing w:after="0" w:line="360" w:lineRule="auto"/>
        <w:outlineLvl w:val="0"/>
        <w:rPr>
          <w:rFonts w:eastAsia="仿宋_GB2312"/>
          <w:b/>
          <w:color w:val="auto"/>
          <w:sz w:val="21"/>
          <w:szCs w:val="21"/>
        </w:rPr>
      </w:pPr>
      <w:r>
        <w:rPr>
          <w:rFonts w:eastAsia="仿宋_GB2312"/>
          <w:b/>
          <w:color w:val="auto"/>
          <w:sz w:val="21"/>
          <w:szCs w:val="21"/>
        </w:rPr>
        <w:t>表</w:t>
      </w:r>
      <w:r>
        <w:rPr>
          <w:rFonts w:hint="eastAsia" w:eastAsia="仿宋_GB2312"/>
          <w:b/>
          <w:color w:val="auto"/>
          <w:sz w:val="21"/>
          <w:szCs w:val="21"/>
        </w:rPr>
        <w:t>八</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4" w:type="dxa"/>
          </w:tcPr>
          <w:p>
            <w:pPr>
              <w:spacing w:after="0" w:line="360" w:lineRule="auto"/>
              <w:rPr>
                <w:rFonts w:ascii="宋体" w:hAnsi="宋体" w:eastAsia="宋体"/>
                <w:color w:val="auto"/>
                <w:sz w:val="21"/>
                <w:szCs w:val="21"/>
              </w:rPr>
            </w:pPr>
            <w:r>
              <w:rPr>
                <w:rFonts w:hint="eastAsia" w:ascii="宋体" w:hAnsi="宋体" w:eastAsia="宋体"/>
                <w:color w:val="auto"/>
                <w:sz w:val="21"/>
                <w:szCs w:val="21"/>
              </w:rPr>
              <w:t>验收监测结论：</w:t>
            </w:r>
          </w:p>
          <w:p>
            <w:pPr>
              <w:keepNext w:val="0"/>
              <w:keepLines w:val="0"/>
              <w:pageBreakBefore w:val="0"/>
              <w:widowControl/>
              <w:kinsoku/>
              <w:wordWrap/>
              <w:overflowPunct/>
              <w:topLinePunct w:val="0"/>
              <w:autoSpaceDE/>
              <w:autoSpaceDN/>
              <w:bidi w:val="0"/>
              <w:adjustRightInd w:val="0"/>
              <w:snapToGrid w:val="0"/>
              <w:spacing w:after="0" w:line="500" w:lineRule="exact"/>
              <w:textAlignment w:val="auto"/>
              <w:rPr>
                <w:rFonts w:ascii="Times New Roman" w:hAnsi="Times New Roman" w:eastAsia="宋体" w:cs="Times New Roman"/>
                <w:color w:val="auto"/>
                <w:sz w:val="21"/>
                <w:szCs w:val="21"/>
              </w:rPr>
            </w:pPr>
            <w:bookmarkStart w:id="12" w:name="_Toc536516987"/>
            <w:r>
              <w:rPr>
                <w:rFonts w:hint="eastAsia" w:ascii="Times New Roman" w:hAnsi="Times New Roman" w:eastAsia="黑体" w:cs="Times New Roman"/>
                <w:color w:val="auto"/>
                <w:sz w:val="21"/>
                <w:szCs w:val="21"/>
              </w:rPr>
              <w:t>1. 环保设施调试效果</w:t>
            </w:r>
            <w:bookmarkEnd w:id="12"/>
          </w:p>
          <w:p>
            <w:pPr>
              <w:pStyle w:val="2"/>
              <w:keepNext w:val="0"/>
              <w:keepLines w:val="0"/>
              <w:pageBreakBefore w:val="0"/>
              <w:widowControl/>
              <w:kinsoku/>
              <w:wordWrap/>
              <w:overflowPunct/>
              <w:topLinePunct w:val="0"/>
              <w:autoSpaceDE/>
              <w:autoSpaceDN/>
              <w:bidi w:val="0"/>
              <w:adjustRightInd w:val="0"/>
              <w:snapToGrid w:val="0"/>
              <w:spacing w:before="0" w:after="0" w:line="500" w:lineRule="exact"/>
              <w:textAlignment w:val="auto"/>
              <w:rPr>
                <w:rFonts w:hint="eastAsia" w:ascii="Times New Roman" w:hAnsi="Times New Roman" w:eastAsia="宋体" w:cs="Times New Roman"/>
                <w:b w:val="0"/>
                <w:bCs w:val="0"/>
                <w:color w:val="auto"/>
                <w:sz w:val="21"/>
                <w:szCs w:val="21"/>
                <w:lang w:val="en-US" w:eastAsia="zh-CN" w:bidi="ar-SA"/>
              </w:rPr>
            </w:pPr>
            <w:r>
              <w:rPr>
                <w:rFonts w:hint="eastAsia" w:ascii="宋体" w:hAnsi="宋体" w:eastAsia="宋体"/>
                <w:color w:val="auto"/>
                <w:sz w:val="21"/>
                <w:szCs w:val="21"/>
                <w:lang w:val="en-US" w:eastAsia="zh-CN"/>
              </w:rPr>
              <w:t xml:space="preserve">   </w:t>
            </w:r>
            <w:r>
              <w:rPr>
                <w:rFonts w:hint="eastAsia" w:ascii="Times New Roman" w:hAnsi="Times New Roman" w:eastAsia="宋体" w:cs="Times New Roman"/>
                <w:b w:val="0"/>
                <w:bCs w:val="0"/>
                <w:color w:val="auto"/>
                <w:sz w:val="21"/>
                <w:szCs w:val="21"/>
                <w:lang w:val="en-US" w:eastAsia="zh-CN" w:bidi="ar-SA"/>
              </w:rPr>
              <w:t>本项目不产生生产废水，</w:t>
            </w:r>
            <w:r>
              <w:rPr>
                <w:rFonts w:hint="eastAsia" w:ascii="Times New Roman" w:hAnsi="Times New Roman" w:eastAsia="宋体" w:cs="Times New Roman"/>
                <w:b w:val="0"/>
                <w:bCs w:val="0"/>
                <w:color w:val="auto"/>
                <w:sz w:val="21"/>
                <w:szCs w:val="21"/>
                <w:lang w:val="en-US" w:eastAsia="zh-Hans" w:bidi="ar-SA"/>
              </w:rPr>
              <w:t>职工</w:t>
            </w:r>
            <w:r>
              <w:rPr>
                <w:rFonts w:hint="eastAsia" w:ascii="Times New Roman" w:hAnsi="Times New Roman" w:eastAsia="宋体" w:cs="Times New Roman"/>
                <w:b w:val="0"/>
                <w:bCs w:val="0"/>
                <w:color w:val="auto"/>
                <w:sz w:val="21"/>
                <w:szCs w:val="21"/>
                <w:lang w:val="en-US" w:eastAsia="zh-CN" w:bidi="ar-SA"/>
              </w:rPr>
              <w:t>在</w:t>
            </w:r>
            <w:r>
              <w:rPr>
                <w:rFonts w:hint="eastAsia" w:ascii="Times New Roman" w:hAnsi="Times New Roman" w:eastAsia="宋体" w:cs="Times New Roman"/>
                <w:b w:val="0"/>
                <w:bCs w:val="0"/>
                <w:color w:val="auto"/>
                <w:sz w:val="21"/>
                <w:szCs w:val="21"/>
                <w:lang w:val="en-US" w:eastAsia="zh-Hans" w:bidi="ar-SA"/>
              </w:rPr>
              <w:t>福田康明斯公司内部调配，不新增生活污水排放</w:t>
            </w:r>
            <w:r>
              <w:rPr>
                <w:rFonts w:hint="eastAsia" w:ascii="Times New Roman" w:hAnsi="Times New Roman" w:eastAsia="宋体" w:cs="Times New Roman"/>
                <w:b w:val="0"/>
                <w:bCs w:val="0"/>
                <w:color w:val="auto"/>
                <w:sz w:val="21"/>
                <w:szCs w:val="21"/>
                <w:lang w:val="en-US" w:eastAsia="zh-CN" w:bidi="ar-SA"/>
              </w:rPr>
              <w:t>，厂区内现有生活外排污水依托福田康明斯公司已有有的污水处理站处理，出水能够达到相应的标准全部回用于厂区绿化和冲厕，不外排。废水待整体项目完成后一并进行验收。因此本次验收内容为废气、噪声以及固体废物的污染防治设施。</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（1）废气</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根据监测报告，本项目发动机热试过程外排废气中挥发性有机物、氮氧化物、颗粒物等污染物</w:t>
            </w:r>
            <w:r>
              <w:rPr>
                <w:rFonts w:hint="eastAsia" w:ascii="Times New Roman" w:hAnsi="Times New Roman" w:eastAsia="宋体" w:cs="Times New Roman"/>
                <w:color w:val="auto"/>
                <w:sz w:val="21"/>
                <w:szCs w:val="21"/>
                <w:lang w:eastAsia="zh-Hans"/>
              </w:rPr>
              <w:t>排放</w:t>
            </w:r>
            <w:r>
              <w:rPr>
                <w:rFonts w:hint="eastAsia" w:ascii="Times New Roman" w:hAnsi="Times New Roman" w:eastAsia="宋体" w:cs="Times New Roman"/>
                <w:color w:val="auto"/>
                <w:sz w:val="21"/>
                <w:szCs w:val="21"/>
              </w:rPr>
              <w:t>浓度</w:t>
            </w:r>
            <w:r>
              <w:rPr>
                <w:rFonts w:hint="eastAsia" w:ascii="Times New Roman" w:hAnsi="Times New Roman" w:eastAsia="宋体" w:cs="Times New Roman"/>
                <w:color w:val="auto"/>
                <w:sz w:val="21"/>
                <w:szCs w:val="21"/>
                <w:lang w:eastAsia="zh-Hans"/>
              </w:rPr>
              <w:t>、速率</w:t>
            </w:r>
            <w:r>
              <w:rPr>
                <w:rFonts w:hint="eastAsia" w:ascii="Times New Roman" w:hAnsi="Times New Roman" w:eastAsia="宋体" w:cs="Times New Roman"/>
                <w:color w:val="auto"/>
                <w:sz w:val="21"/>
                <w:szCs w:val="21"/>
              </w:rPr>
              <w:t>均能够达到</w:t>
            </w:r>
            <w:r>
              <w:rPr>
                <w:rFonts w:ascii="Times New Roman" w:hAnsi="Times New Roman" w:eastAsia="宋体" w:cs="Times New Roman"/>
                <w:color w:val="auto"/>
                <w:sz w:val="21"/>
                <w:szCs w:val="21"/>
              </w:rPr>
              <w:t>《大气污染物综合排放标准》（DB11/501-2017）</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表 3 生产工艺废气及其他废气大气污染物排放限值</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中</w:t>
            </w:r>
            <w:r>
              <w:rPr>
                <w:rFonts w:hint="eastAsia" w:ascii="Times New Roman" w:hAnsi="Times New Roman" w:eastAsia="宋体" w:cs="Times New Roman"/>
                <w:color w:val="auto"/>
                <w:sz w:val="21"/>
                <w:szCs w:val="21"/>
              </w:rPr>
              <w:t>Ⅱ</w:t>
            </w:r>
            <w:r>
              <w:rPr>
                <w:rFonts w:ascii="Times New Roman" w:hAnsi="Times New Roman" w:eastAsia="宋体" w:cs="Times New Roman"/>
                <w:color w:val="auto"/>
                <w:sz w:val="21"/>
                <w:szCs w:val="21"/>
              </w:rPr>
              <w:t>时段相关限值要求</w:t>
            </w:r>
            <w:r>
              <w:rPr>
                <w:rFonts w:hint="eastAsia" w:ascii="Times New Roman" w:hAnsi="Times New Roman" w:eastAsia="宋体" w:cs="Times New Roman"/>
                <w:color w:val="auto"/>
                <w:sz w:val="21"/>
                <w:szCs w:val="21"/>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（2）噪声</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根据监测报告，本项目厂界噪声满足《工业企业厂界环境噪声排放标准》（GB12348-2008）中3类标准。</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（3）固体废物</w:t>
            </w:r>
          </w:p>
          <w:p>
            <w:pPr>
              <w:keepNext w:val="0"/>
              <w:keepLines w:val="0"/>
              <w:pageBreakBefore w:val="0"/>
              <w:widowControl/>
              <w:kinsoku/>
              <w:wordWrap/>
              <w:overflowPunct/>
              <w:topLinePunct w:val="0"/>
              <w:autoSpaceDE/>
              <w:autoSpaceDN/>
              <w:bidi w:val="0"/>
              <w:adjustRightInd w:val="0"/>
              <w:snapToGrid w:val="0"/>
              <w:spacing w:after="0" w:line="500" w:lineRule="exact"/>
              <w:ind w:firstLine="420" w:firstLineChars="200"/>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本项目危险废物暂存于福田康明斯公司厂区已有危废暂存间，定期交由</w:t>
            </w:r>
            <w:r>
              <w:rPr>
                <w:rFonts w:ascii="Times New Roman" w:hAnsi="Times New Roman" w:eastAsia="宋体" w:cs="Times New Roman"/>
                <w:color w:val="auto"/>
                <w:sz w:val="21"/>
                <w:szCs w:val="21"/>
              </w:rPr>
              <w:t>北京市金隅红树林环保技术有限责任公司进行收集处</w:t>
            </w:r>
            <w:r>
              <w:rPr>
                <w:rFonts w:hint="eastAsia" w:ascii="Times New Roman" w:hAnsi="Times New Roman" w:eastAsia="宋体" w:cs="Times New Roman"/>
                <w:color w:val="auto"/>
                <w:sz w:val="21"/>
                <w:szCs w:val="21"/>
              </w:rPr>
              <w:t>置</w:t>
            </w:r>
            <w:r>
              <w:rPr>
                <w:rFonts w:ascii="Times New Roman" w:hAnsi="Times New Roman" w:eastAsia="宋体" w:cs="Times New Roman"/>
                <w:color w:val="auto"/>
                <w:sz w:val="21"/>
                <w:szCs w:val="21"/>
              </w:rPr>
              <w:t>。</w:t>
            </w:r>
          </w:p>
          <w:p>
            <w:pPr>
              <w:keepNext w:val="0"/>
              <w:keepLines w:val="0"/>
              <w:pageBreakBefore w:val="0"/>
              <w:widowControl/>
              <w:kinsoku/>
              <w:wordWrap/>
              <w:overflowPunct/>
              <w:topLinePunct w:val="0"/>
              <w:autoSpaceDE/>
              <w:autoSpaceDN/>
              <w:bidi w:val="0"/>
              <w:adjustRightInd w:val="0"/>
              <w:snapToGrid w:val="0"/>
              <w:spacing w:after="0" w:line="500" w:lineRule="exact"/>
              <w:textAlignment w:val="auto"/>
              <w:rPr>
                <w:rFonts w:ascii="Times New Roman" w:hAnsi="Times New Roman" w:eastAsia="宋体" w:cs="Times New Roman"/>
                <w:color w:val="auto"/>
                <w:sz w:val="21"/>
                <w:szCs w:val="21"/>
              </w:rPr>
            </w:pPr>
            <w:bookmarkStart w:id="13" w:name="_Toc536516988"/>
            <w:r>
              <w:rPr>
                <w:rFonts w:hint="eastAsia" w:ascii="Times New Roman" w:hAnsi="Times New Roman" w:eastAsia="黑体" w:cs="Times New Roman"/>
                <w:color w:val="auto"/>
                <w:sz w:val="21"/>
                <w:szCs w:val="21"/>
              </w:rPr>
              <w:t>2. 工程建设对环境的影响</w:t>
            </w:r>
            <w:bookmarkEnd w:id="13"/>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综上所述，本工程运营初期采取了有效的污染防治措施，发动机</w:t>
            </w:r>
            <w:r>
              <w:rPr>
                <w:rFonts w:hint="eastAsia" w:ascii="Times New Roman" w:hAnsi="Times New Roman" w:eastAsia="宋体" w:cs="Times New Roman"/>
                <w:color w:val="auto"/>
                <w:sz w:val="21"/>
                <w:szCs w:val="21"/>
                <w:lang w:eastAsia="zh-Hans"/>
              </w:rPr>
              <w:t>测试</w:t>
            </w:r>
            <w:r>
              <w:rPr>
                <w:rFonts w:hint="eastAsia" w:ascii="Times New Roman" w:hAnsi="Times New Roman" w:eastAsia="宋体" w:cs="Times New Roman"/>
                <w:color w:val="auto"/>
                <w:sz w:val="21"/>
                <w:szCs w:val="21"/>
                <w:lang w:val="en-US" w:eastAsia="zh-CN"/>
              </w:rPr>
              <w:t>废气设置了尾气净化装置，</w:t>
            </w:r>
            <w:r>
              <w:rPr>
                <w:rFonts w:hint="eastAsia" w:ascii="Times New Roman" w:hAnsi="Times New Roman" w:eastAsia="宋体" w:cs="Times New Roman"/>
                <w:color w:val="auto"/>
                <w:sz w:val="21"/>
                <w:szCs w:val="21"/>
                <w:lang w:eastAsia="zh-Hans"/>
              </w:rPr>
              <w:t>采用了</w:t>
            </w:r>
            <w:r>
              <w:rPr>
                <w:rFonts w:hint="eastAsia" w:ascii="Times New Roman" w:hAnsi="Times New Roman" w:eastAsia="宋体" w:cs="Times New Roman"/>
                <w:color w:val="auto"/>
                <w:sz w:val="21"/>
                <w:szCs w:val="21"/>
              </w:rPr>
              <w:t>DOC+POC +SCR</w:t>
            </w:r>
            <w:r>
              <w:rPr>
                <w:rFonts w:hint="eastAsia" w:ascii="Times New Roman" w:hAnsi="Times New Roman" w:eastAsia="宋体" w:cs="Times New Roman"/>
                <w:color w:val="auto"/>
                <w:sz w:val="21"/>
                <w:szCs w:val="21"/>
                <w:lang w:val="en-US" w:eastAsia="zh-CN"/>
              </w:rPr>
              <w:t>处理模块</w:t>
            </w:r>
            <w:r>
              <w:rPr>
                <w:rFonts w:hint="eastAsia" w:ascii="Times New Roman" w:hAnsi="Times New Roman" w:eastAsia="宋体" w:cs="Times New Roman"/>
                <w:color w:val="auto"/>
                <w:sz w:val="21"/>
                <w:szCs w:val="21"/>
                <w:lang w:eastAsia="zh-Hans"/>
              </w:rPr>
              <w:t>，</w:t>
            </w:r>
            <w:r>
              <w:rPr>
                <w:rFonts w:hint="eastAsia" w:ascii="Times New Roman" w:hAnsi="Times New Roman" w:eastAsia="宋体" w:cs="Times New Roman"/>
                <w:color w:val="auto"/>
                <w:sz w:val="21"/>
                <w:szCs w:val="21"/>
              </w:rPr>
              <w:t>对</w:t>
            </w:r>
            <w:r>
              <w:rPr>
                <w:rFonts w:ascii="Times New Roman" w:hAnsi="Times New Roman" w:eastAsia="宋体" w:cs="Times New Roman"/>
                <w:color w:val="auto"/>
                <w:sz w:val="21"/>
                <w:szCs w:val="21"/>
              </w:rPr>
              <w:t>发动机热试等噪声设备采取了减振、隔音、消音等措施</w:t>
            </w:r>
            <w:r>
              <w:rPr>
                <w:rFonts w:hint="eastAsia"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危险废物</w:t>
            </w:r>
            <w:r>
              <w:rPr>
                <w:rFonts w:hint="eastAsia" w:ascii="Times New Roman" w:hAnsi="Times New Roman" w:eastAsia="宋体" w:cs="Times New Roman"/>
                <w:color w:val="auto"/>
                <w:sz w:val="21"/>
                <w:szCs w:val="21"/>
              </w:rPr>
              <w:t>依托公司</w:t>
            </w:r>
            <w:r>
              <w:rPr>
                <w:rFonts w:hint="eastAsia" w:ascii="Times New Roman" w:hAnsi="Times New Roman" w:eastAsia="宋体" w:cs="Times New Roman"/>
                <w:color w:val="auto"/>
                <w:sz w:val="21"/>
                <w:szCs w:val="21"/>
                <w:lang w:eastAsia="zh-Hans"/>
              </w:rPr>
              <w:t>已有防渗危废暂存间，定期交由有资质单位处置</w:t>
            </w:r>
            <w:r>
              <w:rPr>
                <w:rFonts w:hint="eastAsia" w:ascii="Times New Roman" w:hAnsi="Times New Roman" w:eastAsia="宋体" w:cs="Times New Roman"/>
                <w:color w:val="auto"/>
                <w:sz w:val="21"/>
                <w:szCs w:val="21"/>
              </w:rPr>
              <w:t>，工程各项环保设施运行良好，废气和噪声均能达到验收执行标准中的排放限值，</w:t>
            </w:r>
            <w:r>
              <w:rPr>
                <w:rFonts w:hint="eastAsia" w:ascii="Times New Roman" w:hAnsi="Times New Roman" w:eastAsia="宋体" w:cs="Times New Roman"/>
                <w:color w:val="auto"/>
                <w:sz w:val="21"/>
                <w:szCs w:val="21"/>
                <w:lang w:val="en-US" w:eastAsia="zh-CN"/>
              </w:rPr>
              <w:t>危险废物得到了有效处置，</w:t>
            </w:r>
            <w:r>
              <w:rPr>
                <w:rFonts w:hint="eastAsia" w:ascii="Times New Roman" w:hAnsi="Times New Roman" w:eastAsia="宋体" w:cs="Times New Roman"/>
                <w:color w:val="auto"/>
                <w:sz w:val="21"/>
                <w:szCs w:val="21"/>
              </w:rPr>
              <w:t>取得了较好的环境保护效果，工程建设和运行对环境的实际影响可接受，建议</w:t>
            </w:r>
            <w:r>
              <w:rPr>
                <w:rFonts w:ascii="Times New Roman" w:hAnsi="Times New Roman" w:eastAsia="宋体" w:cs="Times New Roman"/>
                <w:color w:val="auto"/>
                <w:sz w:val="21"/>
                <w:szCs w:val="21"/>
              </w:rPr>
              <w:t>北京福田康明斯发动机有限公司</w:t>
            </w:r>
            <w:r>
              <w:rPr>
                <w:rFonts w:hint="eastAsia" w:ascii="Times New Roman" w:hAnsi="Times New Roman" w:eastAsia="宋体" w:cs="Times New Roman"/>
                <w:color w:val="auto"/>
                <w:sz w:val="21"/>
                <w:szCs w:val="21"/>
              </w:rPr>
              <w:t>重型发动机工厂产能提升项目天然气台架试验间</w:t>
            </w:r>
            <w:r>
              <w:rPr>
                <w:rFonts w:hint="eastAsia" w:ascii="Times New Roman" w:hAnsi="Times New Roman" w:eastAsia="宋体" w:cs="Times New Roman"/>
                <w:color w:val="auto"/>
                <w:sz w:val="21"/>
                <w:szCs w:val="21"/>
                <w:lang w:val="en-US" w:eastAsia="zh-CN"/>
              </w:rPr>
              <w:t>部分</w:t>
            </w:r>
            <w:r>
              <w:rPr>
                <w:rFonts w:hint="eastAsia" w:ascii="Times New Roman" w:hAnsi="Times New Roman" w:eastAsia="宋体" w:cs="Times New Roman"/>
                <w:color w:val="auto"/>
                <w:sz w:val="21"/>
                <w:szCs w:val="21"/>
              </w:rPr>
              <w:t>通过竣工环境保护验收。</w:t>
            </w:r>
          </w:p>
          <w:p>
            <w:pPr>
              <w:keepNext w:val="0"/>
              <w:keepLines w:val="0"/>
              <w:pageBreakBefore w:val="0"/>
              <w:widowControl/>
              <w:kinsoku/>
              <w:wordWrap/>
              <w:overflowPunct/>
              <w:topLinePunct w:val="0"/>
              <w:autoSpaceDE/>
              <w:autoSpaceDN/>
              <w:bidi w:val="0"/>
              <w:adjustRightInd w:val="0"/>
              <w:snapToGrid w:val="0"/>
              <w:spacing w:after="0" w:line="500" w:lineRule="exact"/>
              <w:ind w:firstLine="482"/>
              <w:textAlignment w:val="auto"/>
              <w:rPr>
                <w:rFonts w:eastAsia="仿宋_GB2312"/>
                <w:color w:val="auto"/>
                <w:sz w:val="21"/>
                <w:szCs w:val="21"/>
              </w:rPr>
            </w:pPr>
          </w:p>
          <w:p>
            <w:pPr>
              <w:spacing w:after="0" w:line="500" w:lineRule="exact"/>
              <w:ind w:firstLine="482"/>
              <w:rPr>
                <w:rFonts w:eastAsia="仿宋_GB2312"/>
                <w:color w:val="auto"/>
                <w:sz w:val="21"/>
                <w:szCs w:val="21"/>
              </w:rPr>
            </w:pPr>
          </w:p>
          <w:p>
            <w:pPr>
              <w:pStyle w:val="24"/>
              <w:ind w:left="0" w:leftChars="0" w:firstLine="0" w:firstLineChars="0"/>
              <w:jc w:val="both"/>
              <w:rPr>
                <w:color w:val="auto"/>
              </w:rPr>
            </w:pPr>
          </w:p>
        </w:tc>
      </w:tr>
    </w:tbl>
    <w:p>
      <w:pPr>
        <w:rPr>
          <w:color w:val="auto"/>
        </w:rPr>
        <w:sectPr>
          <w:pgSz w:w="11906" w:h="16838"/>
          <w:pgMar w:top="1440" w:right="1800" w:bottom="1440" w:left="1800" w:header="851" w:footer="992" w:gutter="0"/>
          <w:cols w:space="425" w:num="1"/>
          <w:docGrid w:type="lines" w:linePitch="312" w:charSpace="0"/>
        </w:sectPr>
      </w:pPr>
    </w:p>
    <w:p>
      <w:pPr>
        <w:spacing w:line="288" w:lineRule="auto"/>
        <w:jc w:val="center"/>
        <w:rPr>
          <w:rFonts w:eastAsia="黑体" w:cs="Times New Roman"/>
          <w:b/>
          <w:color w:val="auto"/>
          <w:sz w:val="36"/>
          <w:szCs w:val="36"/>
        </w:rPr>
      </w:pPr>
    </w:p>
    <w:p>
      <w:pPr>
        <w:spacing w:line="288" w:lineRule="auto"/>
        <w:jc w:val="center"/>
        <w:rPr>
          <w:rFonts w:eastAsia="黑体" w:cs="Times New Roman"/>
          <w:b/>
          <w:color w:val="auto"/>
          <w:sz w:val="36"/>
          <w:szCs w:val="36"/>
        </w:rPr>
      </w:pPr>
    </w:p>
    <w:p>
      <w:pPr>
        <w:spacing w:line="288" w:lineRule="auto"/>
        <w:jc w:val="center"/>
        <w:rPr>
          <w:rFonts w:eastAsia="黑体" w:cs="Times New Roman"/>
          <w:b/>
          <w:color w:val="auto"/>
          <w:sz w:val="36"/>
          <w:szCs w:val="36"/>
        </w:rPr>
      </w:pPr>
      <w:r>
        <w:rPr>
          <w:rFonts w:hint="eastAsia" w:eastAsia="黑体" w:cs="Times New Roman"/>
          <w:b/>
          <w:color w:val="auto"/>
          <w:sz w:val="36"/>
          <w:szCs w:val="36"/>
        </w:rPr>
        <w:t>建设项目工程竣工环境保护“三同时”验收登记表</w:t>
      </w:r>
    </w:p>
    <w:p>
      <w:pPr>
        <w:tabs>
          <w:tab w:val="left" w:pos="9362"/>
        </w:tabs>
        <w:spacing w:line="288" w:lineRule="auto"/>
        <w:rPr>
          <w:rFonts w:eastAsia="宋体" w:cs="Times New Roman"/>
          <w:color w:val="auto"/>
          <w:sz w:val="21"/>
          <w:szCs w:val="21"/>
        </w:rPr>
      </w:pPr>
      <w:r>
        <w:rPr>
          <w:rFonts w:hint="eastAsia" w:eastAsia="宋体" w:cs="Times New Roman"/>
          <w:color w:val="auto"/>
          <w:sz w:val="21"/>
          <w:szCs w:val="21"/>
        </w:rPr>
        <w:t>填表单位（盖章）：北京福田康明斯发动机有限公司</w:t>
      </w:r>
      <w:r>
        <w:rPr>
          <w:rFonts w:eastAsia="宋体" w:cs="Times New Roman"/>
          <w:color w:val="auto"/>
          <w:sz w:val="21"/>
          <w:szCs w:val="21"/>
        </w:rPr>
        <w:t xml:space="preserve">                                       </w:t>
      </w:r>
      <w:r>
        <w:rPr>
          <w:rFonts w:hint="eastAsia" w:eastAsia="宋体" w:cs="Times New Roman"/>
          <w:color w:val="auto"/>
          <w:sz w:val="21"/>
          <w:szCs w:val="21"/>
        </w:rPr>
        <w:t xml:space="preserve">    填表人（签字）：</w:t>
      </w:r>
      <w:r>
        <w:rPr>
          <w:rFonts w:eastAsia="宋体" w:cs="Times New Roman"/>
          <w:color w:val="auto"/>
          <w:sz w:val="21"/>
          <w:szCs w:val="21"/>
        </w:rPr>
        <w:t xml:space="preserve"> </w:t>
      </w:r>
      <w:r>
        <w:rPr>
          <w:rFonts w:hint="eastAsia" w:eastAsia="宋体" w:cs="Times New Roman"/>
          <w:color w:val="auto"/>
          <w:sz w:val="21"/>
          <w:szCs w:val="21"/>
        </w:rPr>
        <w:t>王丹</w:t>
      </w:r>
      <w:r>
        <w:rPr>
          <w:rFonts w:eastAsia="宋体" w:cs="Times New Roman"/>
          <w:color w:val="auto"/>
          <w:sz w:val="21"/>
          <w:szCs w:val="21"/>
        </w:rPr>
        <w:t xml:space="preserve">                       </w:t>
      </w:r>
      <w:r>
        <w:rPr>
          <w:rFonts w:hint="eastAsia" w:eastAsia="宋体" w:cs="Times New Roman"/>
          <w:color w:val="auto"/>
          <w:sz w:val="21"/>
          <w:szCs w:val="21"/>
        </w:rPr>
        <w:t xml:space="preserve">                          项目经办人（签字）：王丹</w:t>
      </w:r>
      <w:r>
        <w:rPr>
          <w:rFonts w:eastAsia="宋体" w:cs="Times New Roman"/>
          <w:color w:val="auto"/>
          <w:sz w:val="21"/>
          <w:szCs w:val="21"/>
        </w:rPr>
        <w:t xml:space="preserve">        </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362"/>
        <w:gridCol w:w="1146"/>
        <w:gridCol w:w="1269"/>
        <w:gridCol w:w="21"/>
        <w:gridCol w:w="1058"/>
        <w:gridCol w:w="1083"/>
        <w:gridCol w:w="1066"/>
        <w:gridCol w:w="1096"/>
        <w:gridCol w:w="1286"/>
        <w:gridCol w:w="1421"/>
        <w:gridCol w:w="1307"/>
        <w:gridCol w:w="1007"/>
        <w:gridCol w:w="423"/>
        <w:gridCol w:w="1667"/>
        <w:gridCol w:w="1379"/>
        <w:gridCol w:w="702"/>
        <w:gridCol w:w="694"/>
        <w:gridCol w:w="825"/>
        <w:gridCol w:w="60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restart"/>
            <w:textDirection w:val="tbRlV"/>
            <w:vAlign w:val="center"/>
          </w:tcPr>
          <w:p>
            <w:pPr>
              <w:spacing w:after="0"/>
              <w:ind w:left="113" w:right="113"/>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建 设 项 目</w:t>
            </w: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项目名称</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21"/>
                <w:szCs w:val="21"/>
              </w:rPr>
              <w:t>北京福田康明斯发动机有限公司</w:t>
            </w:r>
            <w:r>
              <w:rPr>
                <w:rFonts w:hint="eastAsia" w:ascii="Times New Roman" w:hAnsi="Times New Roman" w:eastAsia="宋体" w:cs="Times New Roman"/>
                <w:color w:val="auto"/>
                <w:sz w:val="21"/>
                <w:szCs w:val="21"/>
              </w:rPr>
              <w:t>重型发动机工厂产能提升项目天然气台架试验间</w:t>
            </w:r>
            <w:r>
              <w:rPr>
                <w:rFonts w:hint="eastAsia" w:ascii="Times New Roman" w:hAnsi="Times New Roman" w:eastAsia="宋体" w:cs="Times New Roman"/>
                <w:color w:val="auto"/>
                <w:sz w:val="21"/>
                <w:szCs w:val="21"/>
                <w:lang w:val="en-US" w:eastAsia="zh-CN"/>
              </w:rPr>
              <w:t>部分</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项目代码</w:t>
            </w:r>
          </w:p>
        </w:tc>
        <w:tc>
          <w:tcPr>
            <w:tcW w:w="1041" w:type="pct"/>
            <w:gridSpan w:val="4"/>
            <w:vAlign w:val="center"/>
          </w:tcPr>
          <w:p>
            <w:pPr>
              <w:spacing w:after="0"/>
              <w:jc w:val="center"/>
              <w:rPr>
                <w:rFonts w:ascii="Times New Roman" w:hAnsi="Times New Roman" w:eastAsia="宋体" w:cs="Times New Roman"/>
                <w:color w:val="auto"/>
                <w:sz w:val="18"/>
                <w:szCs w:val="18"/>
              </w:rPr>
            </w:pP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建设地点</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cs="Times New Roman"/>
                <w:color w:val="auto"/>
                <w:sz w:val="18"/>
                <w:szCs w:val="18"/>
              </w:rPr>
              <w:t>北京市昌平区沙河镇沙阳路15-1号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行业类别（分类管理名录）</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三十三、汽车制造业 36汽 车 用 发 动 机 制 造 362</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建设性质</w:t>
            </w:r>
          </w:p>
        </w:tc>
        <w:tc>
          <w:tcPr>
            <w:tcW w:w="2266" w:type="pct"/>
            <w:gridSpan w:val="10"/>
            <w:vAlign w:val="center"/>
          </w:tcPr>
          <w:p>
            <w:pPr>
              <w:spacing w:after="0"/>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■新 建                □改 扩 建               □技 术 改 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设计生产能力</w:t>
            </w:r>
          </w:p>
        </w:tc>
        <w:tc>
          <w:tcPr>
            <w:tcW w:w="1322" w:type="pct"/>
            <w:gridSpan w:val="6"/>
            <w:vAlign w:val="center"/>
          </w:tcPr>
          <w:p>
            <w:pPr>
              <w:spacing w:after="0"/>
              <w:ind w:firstLine="360" w:firstLineChars="200"/>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本项目占地面积</w:t>
            </w:r>
            <w:r>
              <w:rPr>
                <w:rFonts w:hint="eastAsia" w:ascii="Times New Roman" w:hAnsi="Times New Roman" w:eastAsia="宋体" w:cs="Times New Roman"/>
                <w:color w:val="auto"/>
                <w:sz w:val="18"/>
                <w:szCs w:val="18"/>
              </w:rPr>
              <w:t>313.9</w:t>
            </w:r>
            <w:r>
              <w:rPr>
                <w:rFonts w:ascii="Times New Roman" w:hAnsi="Times New Roman" w:eastAsia="宋体" w:cs="Times New Roman"/>
                <w:color w:val="auto"/>
                <w:sz w:val="18"/>
                <w:szCs w:val="18"/>
              </w:rPr>
              <w:t>m</w:t>
            </w:r>
            <w:r>
              <w:rPr>
                <w:rFonts w:ascii="Times New Roman" w:hAnsi="Times New Roman" w:eastAsia="宋体" w:cs="Times New Roman"/>
                <w:color w:val="auto"/>
                <w:sz w:val="18"/>
                <w:szCs w:val="18"/>
                <w:vertAlign w:val="superscript"/>
              </w:rPr>
              <w:t>2</w:t>
            </w:r>
            <w:r>
              <w:rPr>
                <w:rFonts w:ascii="Times New Roman" w:hAnsi="Times New Roman" w:eastAsia="宋体" w:cs="Times New Roman"/>
                <w:color w:val="auto"/>
                <w:sz w:val="18"/>
                <w:szCs w:val="18"/>
              </w:rPr>
              <w:t>，建筑面积</w:t>
            </w:r>
            <w:r>
              <w:rPr>
                <w:rFonts w:hint="eastAsia" w:ascii="Times New Roman" w:hAnsi="Times New Roman" w:eastAsia="宋体" w:cs="Times New Roman"/>
                <w:color w:val="auto"/>
                <w:sz w:val="18"/>
                <w:szCs w:val="18"/>
              </w:rPr>
              <w:t>407</w:t>
            </w:r>
            <w:r>
              <w:rPr>
                <w:rFonts w:ascii="Times New Roman" w:hAnsi="Times New Roman" w:eastAsia="宋体" w:cs="Times New Roman"/>
                <w:color w:val="auto"/>
                <w:sz w:val="18"/>
                <w:szCs w:val="18"/>
              </w:rPr>
              <w:t>m</w:t>
            </w:r>
            <w:r>
              <w:rPr>
                <w:rFonts w:ascii="Times New Roman" w:hAnsi="Times New Roman" w:eastAsia="宋体" w:cs="Times New Roman"/>
                <w:color w:val="auto"/>
                <w:sz w:val="18"/>
                <w:szCs w:val="18"/>
                <w:vertAlign w:val="superscript"/>
              </w:rPr>
              <w:t>2</w:t>
            </w:r>
            <w:r>
              <w:rPr>
                <w:rFonts w:hint="eastAsia" w:ascii="Times New Roman" w:hAnsi="Times New Roman" w:eastAsia="宋体" w:cs="Times New Roman"/>
                <w:color w:val="auto"/>
                <w:sz w:val="18"/>
                <w:szCs w:val="18"/>
              </w:rPr>
              <w:t>；</w:t>
            </w:r>
            <w:r>
              <w:rPr>
                <w:rFonts w:ascii="Times New Roman" w:hAnsi="Times New Roman" w:eastAsia="宋体" w:cs="Times New Roman"/>
                <w:color w:val="auto"/>
                <w:sz w:val="18"/>
                <w:szCs w:val="18"/>
              </w:rPr>
              <w:t>预计测试天然气发动机（12L+15L）</w:t>
            </w:r>
            <w:r>
              <w:rPr>
                <w:rFonts w:hint="eastAsia" w:ascii="Times New Roman" w:hAnsi="Times New Roman" w:eastAsia="宋体" w:cs="Times New Roman"/>
                <w:color w:val="auto"/>
                <w:sz w:val="18"/>
                <w:szCs w:val="18"/>
              </w:rPr>
              <w:t>4.34万</w:t>
            </w:r>
            <w:r>
              <w:rPr>
                <w:rFonts w:ascii="Times New Roman" w:hAnsi="Times New Roman" w:eastAsia="宋体" w:cs="Times New Roman"/>
                <w:color w:val="auto"/>
                <w:sz w:val="18"/>
                <w:szCs w:val="18"/>
              </w:rPr>
              <w:t>台</w:t>
            </w:r>
            <w:r>
              <w:rPr>
                <w:rFonts w:hint="eastAsia" w:ascii="Times New Roman" w:hAnsi="Times New Roman" w:eastAsia="宋体" w:cs="Times New Roman"/>
                <w:color w:val="auto"/>
                <w:sz w:val="18"/>
                <w:szCs w:val="18"/>
              </w:rPr>
              <w:t>。</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实际生产能力</w:t>
            </w:r>
          </w:p>
        </w:tc>
        <w:tc>
          <w:tcPr>
            <w:tcW w:w="1041" w:type="pct"/>
            <w:gridSpan w:val="4"/>
            <w:vAlign w:val="center"/>
          </w:tcPr>
          <w:p>
            <w:pPr>
              <w:spacing w:after="0"/>
              <w:ind w:firstLine="360" w:firstLineChars="200"/>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本项目占地面积</w:t>
            </w:r>
            <w:r>
              <w:rPr>
                <w:rFonts w:hint="eastAsia" w:ascii="Times New Roman" w:hAnsi="Times New Roman" w:eastAsia="宋体" w:cs="Times New Roman"/>
                <w:color w:val="auto"/>
                <w:sz w:val="18"/>
                <w:szCs w:val="18"/>
              </w:rPr>
              <w:t>313.9</w:t>
            </w:r>
            <w:r>
              <w:rPr>
                <w:rFonts w:ascii="Times New Roman" w:hAnsi="Times New Roman" w:eastAsia="宋体" w:cs="Times New Roman"/>
                <w:color w:val="auto"/>
                <w:sz w:val="18"/>
                <w:szCs w:val="18"/>
              </w:rPr>
              <w:t>m</w:t>
            </w:r>
            <w:r>
              <w:rPr>
                <w:rFonts w:ascii="Times New Roman" w:hAnsi="Times New Roman" w:eastAsia="宋体" w:cs="Times New Roman"/>
                <w:color w:val="auto"/>
                <w:sz w:val="18"/>
                <w:szCs w:val="18"/>
                <w:vertAlign w:val="superscript"/>
              </w:rPr>
              <w:t>2</w:t>
            </w:r>
            <w:r>
              <w:rPr>
                <w:rFonts w:ascii="Times New Roman" w:hAnsi="Times New Roman" w:eastAsia="宋体" w:cs="Times New Roman"/>
                <w:color w:val="auto"/>
                <w:sz w:val="18"/>
                <w:szCs w:val="18"/>
              </w:rPr>
              <w:t>，建筑面积</w:t>
            </w:r>
            <w:r>
              <w:rPr>
                <w:rFonts w:hint="eastAsia" w:ascii="Times New Roman" w:hAnsi="Times New Roman" w:eastAsia="宋体" w:cs="Times New Roman"/>
                <w:color w:val="auto"/>
                <w:sz w:val="18"/>
                <w:szCs w:val="18"/>
              </w:rPr>
              <w:t>407</w:t>
            </w:r>
            <w:r>
              <w:rPr>
                <w:rFonts w:ascii="Times New Roman" w:hAnsi="Times New Roman" w:eastAsia="宋体" w:cs="Times New Roman"/>
                <w:color w:val="auto"/>
                <w:sz w:val="18"/>
                <w:szCs w:val="18"/>
              </w:rPr>
              <w:t>m</w:t>
            </w:r>
            <w:r>
              <w:rPr>
                <w:rFonts w:ascii="Times New Roman" w:hAnsi="Times New Roman" w:eastAsia="宋体" w:cs="Times New Roman"/>
                <w:color w:val="auto"/>
                <w:sz w:val="18"/>
                <w:szCs w:val="18"/>
                <w:vertAlign w:val="superscript"/>
              </w:rPr>
              <w:t>2</w:t>
            </w:r>
            <w:r>
              <w:rPr>
                <w:rFonts w:hint="eastAsia" w:ascii="Times New Roman" w:hAnsi="Times New Roman" w:eastAsia="宋体" w:cs="Times New Roman"/>
                <w:color w:val="auto"/>
                <w:sz w:val="18"/>
                <w:szCs w:val="18"/>
              </w:rPr>
              <w:t>；年</w:t>
            </w:r>
            <w:r>
              <w:rPr>
                <w:rFonts w:ascii="Times New Roman" w:hAnsi="Times New Roman" w:eastAsia="宋体" w:cs="Times New Roman"/>
                <w:color w:val="auto"/>
                <w:sz w:val="18"/>
                <w:szCs w:val="18"/>
              </w:rPr>
              <w:t>测试天然气发动机（12L+15L）</w:t>
            </w:r>
            <w:r>
              <w:rPr>
                <w:rFonts w:hint="eastAsia" w:ascii="Times New Roman" w:hAnsi="Times New Roman" w:eastAsia="宋体" w:cs="Times New Roman"/>
                <w:color w:val="auto"/>
                <w:sz w:val="18"/>
                <w:szCs w:val="18"/>
              </w:rPr>
              <w:t>4.34万</w:t>
            </w:r>
            <w:r>
              <w:rPr>
                <w:rFonts w:ascii="Times New Roman" w:hAnsi="Times New Roman" w:eastAsia="宋体" w:cs="Times New Roman"/>
                <w:color w:val="auto"/>
                <w:sz w:val="18"/>
                <w:szCs w:val="18"/>
              </w:rPr>
              <w:t>台</w:t>
            </w:r>
            <w:r>
              <w:rPr>
                <w:rFonts w:hint="eastAsia" w:ascii="Times New Roman" w:hAnsi="Times New Roman" w:eastAsia="宋体" w:cs="Times New Roman"/>
                <w:color w:val="auto"/>
                <w:sz w:val="18"/>
                <w:szCs w:val="18"/>
              </w:rPr>
              <w:t>。</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环评单位</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中冶节能环保有限责任公司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环评文件审批机关</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北京市</w:t>
            </w:r>
            <w:r>
              <w:rPr>
                <w:rFonts w:hint="eastAsia" w:ascii="Times New Roman" w:hAnsi="Times New Roman" w:eastAsia="宋体" w:cs="Times New Roman"/>
                <w:color w:val="auto"/>
                <w:sz w:val="18"/>
                <w:szCs w:val="18"/>
              </w:rPr>
              <w:t>生态</w:t>
            </w:r>
            <w:r>
              <w:rPr>
                <w:rFonts w:ascii="Times New Roman" w:hAnsi="Times New Roman" w:eastAsia="宋体" w:cs="Times New Roman"/>
                <w:color w:val="auto"/>
                <w:sz w:val="18"/>
                <w:szCs w:val="18"/>
              </w:rPr>
              <w:t>环境局</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审批文号</w:t>
            </w:r>
          </w:p>
        </w:tc>
        <w:tc>
          <w:tcPr>
            <w:tcW w:w="1041"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cs="Times New Roman"/>
                <w:color w:val="auto"/>
                <w:sz w:val="18"/>
                <w:szCs w:val="18"/>
              </w:rPr>
              <w:t>京环审</w:t>
            </w:r>
            <w:r>
              <w:rPr>
                <w:rFonts w:ascii="Times New Roman" w:hAnsi="Times New Roman" w:cs="Times New Roman"/>
                <w:color w:val="auto"/>
                <w:sz w:val="18"/>
                <w:szCs w:val="18"/>
              </w:rPr>
              <w:t>[20</w:t>
            </w:r>
            <w:r>
              <w:rPr>
                <w:rFonts w:hint="eastAsia" w:ascii="Times New Roman" w:hAnsi="Times New Roman" w:cs="Times New Roman"/>
                <w:color w:val="auto"/>
                <w:sz w:val="18"/>
                <w:szCs w:val="18"/>
              </w:rPr>
              <w:t>22</w:t>
            </w:r>
            <w:r>
              <w:rPr>
                <w:rFonts w:ascii="Times New Roman" w:hAnsi="Times New Roman" w:cs="Times New Roman"/>
                <w:color w:val="auto"/>
                <w:sz w:val="18"/>
                <w:szCs w:val="18"/>
              </w:rPr>
              <w:t>]6</w:t>
            </w:r>
            <w:r>
              <w:rPr>
                <w:rFonts w:hint="eastAsia" w:ascii="Times New Roman" w:hAnsi="Times New Roman" w:cs="Times New Roman"/>
                <w:color w:val="auto"/>
                <w:sz w:val="18"/>
                <w:szCs w:val="18"/>
              </w:rPr>
              <w:t>5</w:t>
            </w:r>
            <w:r>
              <w:rPr>
                <w:rFonts w:ascii="Times New Roman" w:hAnsi="Times New Roman" w:cs="Times New Roman"/>
                <w:color w:val="auto"/>
                <w:sz w:val="18"/>
                <w:szCs w:val="18"/>
              </w:rPr>
              <w:t>号</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环评文件类型</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开工日期</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20</w:t>
            </w:r>
            <w:r>
              <w:rPr>
                <w:rFonts w:hint="eastAsia" w:ascii="Times New Roman" w:hAnsi="Times New Roman" w:eastAsia="宋体" w:cs="Times New Roman"/>
                <w:color w:val="auto"/>
                <w:sz w:val="18"/>
                <w:szCs w:val="18"/>
              </w:rPr>
              <w:t>22</w:t>
            </w:r>
            <w:r>
              <w:rPr>
                <w:rFonts w:ascii="Times New Roman" w:hAnsi="Times New Roman" w:eastAsia="宋体" w:cs="Times New Roman"/>
                <w:color w:val="auto"/>
                <w:sz w:val="18"/>
                <w:szCs w:val="18"/>
              </w:rPr>
              <w:t>年</w:t>
            </w:r>
            <w:r>
              <w:rPr>
                <w:rFonts w:hint="eastAsia" w:ascii="Times New Roman" w:hAnsi="Times New Roman" w:eastAsia="宋体" w:cs="Times New Roman"/>
                <w:color w:val="auto"/>
                <w:sz w:val="18"/>
                <w:szCs w:val="18"/>
              </w:rPr>
              <w:t>4</w:t>
            </w:r>
            <w:r>
              <w:rPr>
                <w:rFonts w:ascii="Times New Roman" w:hAnsi="Times New Roman" w:eastAsia="宋体" w:cs="Times New Roman"/>
                <w:color w:val="auto"/>
                <w:sz w:val="18"/>
                <w:szCs w:val="18"/>
              </w:rPr>
              <w:t>月</w:t>
            </w:r>
            <w:r>
              <w:rPr>
                <w:rFonts w:hint="eastAsia" w:ascii="Times New Roman" w:hAnsi="Times New Roman" w:eastAsia="宋体" w:cs="Times New Roman"/>
                <w:color w:val="auto"/>
                <w:sz w:val="18"/>
                <w:szCs w:val="18"/>
              </w:rPr>
              <w:t>25日</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竣工日期</w:t>
            </w:r>
          </w:p>
        </w:tc>
        <w:tc>
          <w:tcPr>
            <w:tcW w:w="1041"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202</w:t>
            </w:r>
            <w:r>
              <w:rPr>
                <w:rFonts w:hint="eastAsia" w:ascii="Times New Roman" w:hAnsi="Times New Roman" w:eastAsia="宋体" w:cs="Times New Roman"/>
                <w:color w:val="auto"/>
                <w:sz w:val="18"/>
                <w:szCs w:val="18"/>
              </w:rPr>
              <w:t>2</w:t>
            </w:r>
            <w:r>
              <w:rPr>
                <w:rFonts w:ascii="Times New Roman" w:hAnsi="Times New Roman" w:eastAsia="宋体" w:cs="Times New Roman"/>
                <w:color w:val="auto"/>
                <w:sz w:val="18"/>
                <w:szCs w:val="18"/>
              </w:rPr>
              <w:t>年</w:t>
            </w:r>
            <w:r>
              <w:rPr>
                <w:rFonts w:hint="eastAsia" w:ascii="Times New Roman" w:hAnsi="Times New Roman" w:eastAsia="宋体" w:cs="Times New Roman"/>
                <w:color w:val="auto"/>
                <w:sz w:val="18"/>
                <w:szCs w:val="18"/>
              </w:rPr>
              <w:t>5</w:t>
            </w:r>
            <w:r>
              <w:rPr>
                <w:rFonts w:ascii="Times New Roman" w:hAnsi="Times New Roman" w:eastAsia="宋体" w:cs="Times New Roman"/>
                <w:color w:val="auto"/>
                <w:sz w:val="18"/>
                <w:szCs w:val="18"/>
              </w:rPr>
              <w:t>月</w:t>
            </w:r>
            <w:r>
              <w:rPr>
                <w:rFonts w:hint="eastAsia" w:ascii="Times New Roman" w:hAnsi="Times New Roman" w:eastAsia="宋体" w:cs="Times New Roman"/>
                <w:color w:val="auto"/>
                <w:sz w:val="18"/>
                <w:szCs w:val="18"/>
              </w:rPr>
              <w:t>15日</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排污许可证申领日期</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2019年12月30</w:t>
            </w:r>
            <w:r>
              <w:rPr>
                <w:rFonts w:hint="eastAsia" w:ascii="Times New Roman" w:hAnsi="Times New Roman" w:eastAsia="宋体" w:cs="Times New Roman"/>
                <w:color w:val="auto"/>
                <w:sz w:val="18"/>
                <w:szCs w:val="1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环保设施设计单位</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Hans"/>
              </w:rPr>
              <w:t>南通力达环保设备有限公司</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环保设施施工单位</w:t>
            </w:r>
          </w:p>
        </w:tc>
        <w:tc>
          <w:tcPr>
            <w:tcW w:w="1041" w:type="pct"/>
            <w:gridSpan w:val="4"/>
            <w:vAlign w:val="center"/>
          </w:tcPr>
          <w:p>
            <w:pPr>
              <w:spacing w:after="0"/>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eastAsia="zh-Hans"/>
              </w:rPr>
              <w:t>南通力达环保设备有限公司</w:t>
            </w:r>
            <w:r>
              <w:rPr>
                <w:rFonts w:ascii="Times New Roman" w:hAnsi="Times New Roman" w:eastAsia="宋体" w:cs="Times New Roman"/>
                <w:color w:val="auto"/>
                <w:sz w:val="18"/>
                <w:szCs w:val="18"/>
                <w:lang w:eastAsia="zh-Hans"/>
              </w:rPr>
              <w:t>/</w:t>
            </w:r>
            <w:r>
              <w:rPr>
                <w:rFonts w:hint="eastAsia" w:ascii="Times New Roman" w:hAnsi="Times New Roman" w:eastAsia="宋体" w:cs="Times New Roman"/>
                <w:color w:val="auto"/>
                <w:sz w:val="18"/>
                <w:szCs w:val="18"/>
              </w:rPr>
              <w:t>北京中兴恒远建筑工程有限公司</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本项目排污许可证编号</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91110000717881159U001R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验收单位</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北京福田康明斯发动机有限公司</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环保设施监测单位</w:t>
            </w:r>
          </w:p>
        </w:tc>
        <w:tc>
          <w:tcPr>
            <w:tcW w:w="1041"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cs="Times New Roman"/>
                <w:color w:val="auto"/>
                <w:sz w:val="18"/>
                <w:szCs w:val="18"/>
              </w:rPr>
              <w:t>中冶检测认证有限公司/冶金环境监测中心</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验收监测时工况</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投资总概算（万元）</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2745</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环保投资总概算（万元）</w:t>
            </w:r>
          </w:p>
        </w:tc>
        <w:tc>
          <w:tcPr>
            <w:tcW w:w="1041"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400</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所占比例（%）</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实际总投资（万元）</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2352.27</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实际环保投资</w:t>
            </w:r>
          </w:p>
        </w:tc>
        <w:tc>
          <w:tcPr>
            <w:tcW w:w="1041"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450.72</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所占比例（%）</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废水治理（万元）</w:t>
            </w:r>
          </w:p>
        </w:tc>
        <w:tc>
          <w:tcPr>
            <w:tcW w:w="300" w:type="pct"/>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w:t>
            </w:r>
          </w:p>
        </w:tc>
        <w:tc>
          <w:tcPr>
            <w:tcW w:w="255"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废气治理（万元）</w:t>
            </w:r>
          </w:p>
        </w:tc>
        <w:tc>
          <w:tcPr>
            <w:tcW w:w="256" w:type="pct"/>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408.96</w:t>
            </w:r>
          </w:p>
        </w:tc>
        <w:tc>
          <w:tcPr>
            <w:tcW w:w="252" w:type="pct"/>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噪声治理</w:t>
            </w:r>
          </w:p>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（万元）</w:t>
            </w:r>
          </w:p>
        </w:tc>
        <w:tc>
          <w:tcPr>
            <w:tcW w:w="258" w:type="pct"/>
            <w:vAlign w:val="center"/>
          </w:tcPr>
          <w:p>
            <w:pPr>
              <w:spacing w:after="0"/>
              <w:ind w:right="36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39.76</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固废治理（万元）</w:t>
            </w:r>
          </w:p>
        </w:tc>
        <w:tc>
          <w:tcPr>
            <w:tcW w:w="547" w:type="pct"/>
            <w:gridSpan w:val="2"/>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2.00</w:t>
            </w:r>
          </w:p>
        </w:tc>
        <w:tc>
          <w:tcPr>
            <w:tcW w:w="494"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绿化及生态（万元）</w:t>
            </w:r>
          </w:p>
        </w:tc>
        <w:tc>
          <w:tcPr>
            <w:tcW w:w="492" w:type="pct"/>
            <w:gridSpan w:val="2"/>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w:t>
            </w:r>
          </w:p>
        </w:tc>
        <w:tc>
          <w:tcPr>
            <w:tcW w:w="359"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其它（万元）</w:t>
            </w:r>
          </w:p>
        </w:tc>
        <w:tc>
          <w:tcPr>
            <w:tcW w:w="373" w:type="pct"/>
            <w:gridSpan w:val="2"/>
            <w:vAlign w:val="center"/>
          </w:tcPr>
          <w:p>
            <w:pPr>
              <w:spacing w:after="0"/>
              <w:ind w:right="36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新增废水处理设施能力</w:t>
            </w:r>
          </w:p>
        </w:tc>
        <w:tc>
          <w:tcPr>
            <w:tcW w:w="1322" w:type="pct"/>
            <w:gridSpan w:val="6"/>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w:t>
            </w:r>
          </w:p>
        </w:tc>
        <w:tc>
          <w:tcPr>
            <w:tcW w:w="640"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新增废气处理设施能力</w:t>
            </w:r>
          </w:p>
        </w:tc>
        <w:tc>
          <w:tcPr>
            <w:tcW w:w="1041" w:type="pct"/>
            <w:gridSpan w:val="4"/>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Cs/>
                <w:color w:val="auto"/>
                <w:sz w:val="18"/>
                <w:szCs w:val="18"/>
              </w:rPr>
              <w:t>2194</w:t>
            </w:r>
            <w:r>
              <w:rPr>
                <w:rFonts w:ascii="Times New Roman" w:hAnsi="Times New Roman" w:eastAsia="宋体" w:cs="Times New Roman"/>
                <w:bCs/>
                <w:color w:val="auto"/>
                <w:sz w:val="18"/>
                <w:szCs w:val="18"/>
              </w:rPr>
              <w:t>m</w:t>
            </w:r>
            <w:r>
              <w:rPr>
                <w:rFonts w:ascii="Times New Roman" w:hAnsi="Times New Roman" w:eastAsia="宋体" w:cs="Times New Roman"/>
                <w:bCs/>
                <w:color w:val="auto"/>
                <w:sz w:val="18"/>
                <w:szCs w:val="18"/>
                <w:vertAlign w:val="superscript"/>
              </w:rPr>
              <w:t>3</w:t>
            </w:r>
            <w:r>
              <w:rPr>
                <w:rFonts w:ascii="Times New Roman" w:hAnsi="Times New Roman" w:eastAsia="宋体" w:cs="Times New Roman"/>
                <w:bCs/>
                <w:color w:val="auto"/>
                <w:sz w:val="18"/>
                <w:szCs w:val="18"/>
              </w:rPr>
              <w:t>/h</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年平均工作时</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300</w:t>
            </w:r>
            <w:r>
              <w:rPr>
                <w:rFonts w:ascii="Times New Roman" w:hAnsi="Times New Roman" w:eastAsia="宋体" w:cs="Times New Roman"/>
                <w:color w:val="auto"/>
                <w:sz w:val="18"/>
                <w:szCs w:val="18"/>
              </w:rPr>
              <w:t>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771" w:type="pct"/>
            <w:gridSpan w:val="3"/>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运营单位</w:t>
            </w:r>
          </w:p>
        </w:tc>
        <w:tc>
          <w:tcPr>
            <w:tcW w:w="811"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北京福田康明斯发动机有限公司</w:t>
            </w:r>
          </w:p>
        </w:tc>
        <w:tc>
          <w:tcPr>
            <w:tcW w:w="1151" w:type="pct"/>
            <w:gridSpan w:val="4"/>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运营单位社会统一信用代码（或组织机构码）</w:t>
            </w:r>
          </w:p>
        </w:tc>
        <w:tc>
          <w:tcPr>
            <w:tcW w:w="1041" w:type="pct"/>
            <w:gridSpan w:val="4"/>
            <w:vAlign w:val="center"/>
          </w:tcPr>
          <w:p>
            <w:pPr>
              <w:spacing w:after="0"/>
              <w:jc w:val="center"/>
              <w:rPr>
                <w:rFonts w:ascii="Times New Roman" w:hAnsi="Times New Roman" w:eastAsia="楷体_GB2312" w:cs="Times New Roman"/>
                <w:color w:val="auto"/>
                <w:sz w:val="18"/>
                <w:szCs w:val="18"/>
              </w:rPr>
            </w:pPr>
            <w:r>
              <w:rPr>
                <w:rFonts w:ascii="Times New Roman" w:hAnsi="Times New Roman" w:eastAsia="楷体_GB2312" w:cs="Times New Roman"/>
                <w:color w:val="auto"/>
                <w:sz w:val="18"/>
                <w:szCs w:val="18"/>
              </w:rPr>
              <w:t>911100007</w:t>
            </w:r>
            <w:r>
              <w:rPr>
                <w:rFonts w:hint="eastAsia" w:ascii="Times New Roman" w:hAnsi="Times New Roman" w:eastAsia="楷体_GB2312" w:cs="Times New Roman"/>
                <w:color w:val="auto"/>
                <w:sz w:val="18"/>
                <w:szCs w:val="18"/>
              </w:rPr>
              <w:t>17881159U</w:t>
            </w:r>
          </w:p>
        </w:tc>
        <w:tc>
          <w:tcPr>
            <w:tcW w:w="492" w:type="pct"/>
            <w:gridSpan w:val="2"/>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验收时间</w:t>
            </w:r>
          </w:p>
        </w:tc>
        <w:tc>
          <w:tcPr>
            <w:tcW w:w="732" w:type="pct"/>
            <w:gridSpan w:val="4"/>
            <w:vAlign w:val="center"/>
          </w:tcPr>
          <w:p>
            <w:pPr>
              <w:spacing w:after="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202</w:t>
            </w:r>
            <w:r>
              <w:rPr>
                <w:rFonts w:hint="eastAsia" w:ascii="Times New Roman" w:hAnsi="Times New Roman" w:eastAsia="宋体" w:cs="Times New Roman"/>
                <w:color w:val="auto"/>
                <w:sz w:val="18"/>
                <w:szCs w:val="18"/>
              </w:rPr>
              <w:t>2</w:t>
            </w:r>
            <w:r>
              <w:rPr>
                <w:rFonts w:ascii="Times New Roman" w:hAnsi="Times New Roman" w:eastAsia="宋体" w:cs="Times New Roman"/>
                <w:color w:val="auto"/>
                <w:sz w:val="18"/>
                <w:szCs w:val="18"/>
              </w:rPr>
              <w:t>年</w:t>
            </w:r>
            <w:r>
              <w:rPr>
                <w:rFonts w:hint="eastAsia" w:ascii="Times New Roman" w:hAnsi="Times New Roman" w:eastAsia="宋体" w:cs="Times New Roman"/>
                <w:color w:val="auto"/>
                <w:sz w:val="18"/>
                <w:szCs w:val="18"/>
              </w:rPr>
              <w:t>6</w:t>
            </w:r>
            <w:r>
              <w:rPr>
                <w:rFonts w:ascii="Times New Roman" w:hAnsi="Times New Roman" w:eastAsia="宋体" w:cs="Times New Roman"/>
                <w:color w:val="auto"/>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restar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黑体" w:cs="Times New Roman"/>
                <w:b/>
                <w:color w:val="auto"/>
                <w:spacing w:val="20"/>
                <w:sz w:val="18"/>
                <w:szCs w:val="18"/>
              </w:rPr>
              <w:t>污染物排放达标与总量控制（工业建设项目详填）</w:t>
            </w:r>
          </w:p>
        </w:tc>
        <w:tc>
          <w:tcPr>
            <w:tcW w:w="593" w:type="pct"/>
            <w:gridSpan w:val="2"/>
            <w:shd w:val="clear" w:color="auto" w:fill="auto"/>
            <w:vAlign w:val="center"/>
          </w:tcPr>
          <w:p>
            <w:pPr>
              <w:spacing w:after="0"/>
              <w:jc w:val="distribute"/>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污染物</w:t>
            </w:r>
          </w:p>
        </w:tc>
        <w:tc>
          <w:tcPr>
            <w:tcW w:w="305" w:type="pct"/>
            <w:gridSpan w:val="2"/>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原有</w:t>
            </w:r>
          </w:p>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排放量(1)</w:t>
            </w:r>
          </w:p>
        </w:tc>
        <w:tc>
          <w:tcPr>
            <w:tcW w:w="506" w:type="pct"/>
            <w:gridSpan w:val="2"/>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w:t>
            </w:r>
          </w:p>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实际排放浓度(2)</w:t>
            </w:r>
          </w:p>
        </w:tc>
        <w:tc>
          <w:tcPr>
            <w:tcW w:w="511" w:type="pct"/>
            <w:gridSpan w:val="2"/>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本期工程允许</w:t>
            </w:r>
          </w:p>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排放浓度(3)</w:t>
            </w:r>
          </w:p>
        </w:tc>
        <w:tc>
          <w:tcPr>
            <w:tcW w:w="304" w:type="pc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w:t>
            </w:r>
          </w:p>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产生量(4)</w:t>
            </w:r>
          </w:p>
        </w:tc>
        <w:tc>
          <w:tcPr>
            <w:tcW w:w="336" w:type="pc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本期工程自身削减量(5)</w:t>
            </w:r>
          </w:p>
        </w:tc>
        <w:tc>
          <w:tcPr>
            <w:tcW w:w="309" w:type="pc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本期工程实际排放量(6)</w:t>
            </w:r>
          </w:p>
        </w:tc>
        <w:tc>
          <w:tcPr>
            <w:tcW w:w="338" w:type="pct"/>
            <w:gridSpan w:val="2"/>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本期工程核定排放总量(7)</w:t>
            </w:r>
          </w:p>
        </w:tc>
        <w:tc>
          <w:tcPr>
            <w:tcW w:w="394" w:type="pc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本期工程“以新带老”削减量(8)</w:t>
            </w:r>
          </w:p>
        </w:tc>
        <w:tc>
          <w:tcPr>
            <w:tcW w:w="326" w:type="pc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全厂实际排放总量(9)</w:t>
            </w:r>
          </w:p>
        </w:tc>
        <w:tc>
          <w:tcPr>
            <w:tcW w:w="330" w:type="pct"/>
            <w:gridSpan w:val="2"/>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全厂核定排放总量(10)</w:t>
            </w:r>
          </w:p>
        </w:tc>
        <w:tc>
          <w:tcPr>
            <w:tcW w:w="339" w:type="pct"/>
            <w:gridSpan w:val="2"/>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区域平衡替代削减量(11)</w:t>
            </w:r>
          </w:p>
        </w:tc>
        <w:tc>
          <w:tcPr>
            <w:tcW w:w="229" w:type="pct"/>
            <w:shd w:val="clear" w:color="auto" w:fill="auto"/>
            <w:vAlign w:val="center"/>
          </w:tcPr>
          <w:p>
            <w:pPr>
              <w:spacing w:after="0"/>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排放增减量(12)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黑体" w:cs="Times New Roman"/>
                <w:b/>
                <w:color w:val="auto"/>
                <w:sz w:val="18"/>
                <w:szCs w:val="18"/>
              </w:rPr>
            </w:pPr>
            <w:r>
              <w:rPr>
                <w:rFonts w:ascii="Times New Roman" w:hAnsi="Times New Roman" w:eastAsia="黑体" w:cs="Times New Roman"/>
                <w:b/>
                <w:color w:val="auto"/>
                <w:sz w:val="18"/>
                <w:szCs w:val="18"/>
              </w:rPr>
              <w:t>废水</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 xml:space="preserve">化学需氧量 </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氨氮</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石油类</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黑体" w:cs="Times New Roman"/>
                <w:b/>
                <w:color w:val="auto"/>
                <w:sz w:val="18"/>
                <w:szCs w:val="18"/>
              </w:rPr>
            </w:pPr>
            <w:r>
              <w:rPr>
                <w:rFonts w:ascii="Times New Roman" w:hAnsi="Times New Roman" w:eastAsia="黑体" w:cs="Times New Roman"/>
                <w:b/>
                <w:color w:val="auto"/>
                <w:sz w:val="18"/>
                <w:szCs w:val="18"/>
              </w:rPr>
              <w:t>废气</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二氧化硫</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178" w:type="pct"/>
            <w:vMerge w:val="continue"/>
            <w:shd w:val="clear" w:color="auto" w:fill="auto"/>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烟尘</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2.6</w:t>
            </w:r>
          </w:p>
        </w:tc>
        <w:tc>
          <w:tcPr>
            <w:tcW w:w="511" w:type="pct"/>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10</w:t>
            </w: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0.089</w:t>
            </w:r>
          </w:p>
        </w:tc>
        <w:tc>
          <w:tcPr>
            <w:tcW w:w="1430" w:type="dxa"/>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0.089</w:t>
            </w: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973" w:type="dxa"/>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工业粉尘</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1430" w:type="dxa"/>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973" w:type="dxa"/>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right"/>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氮氧化物</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48.1</w:t>
            </w:r>
          </w:p>
        </w:tc>
        <w:tc>
          <w:tcPr>
            <w:tcW w:w="511" w:type="pct"/>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100</w:t>
            </w: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0.127</w:t>
            </w:r>
          </w:p>
        </w:tc>
        <w:tc>
          <w:tcPr>
            <w:tcW w:w="1430" w:type="dxa"/>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0.127</w:t>
            </w: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973" w:type="dxa"/>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黑体" w:cs="Times New Roman"/>
                <w:b/>
                <w:color w:val="auto"/>
                <w:sz w:val="18"/>
                <w:szCs w:val="18"/>
              </w:rPr>
            </w:pPr>
            <w:r>
              <w:rPr>
                <w:rFonts w:ascii="Times New Roman" w:hAnsi="Times New Roman" w:eastAsia="黑体" w:cs="Times New Roman"/>
                <w:b/>
                <w:color w:val="auto"/>
                <w:sz w:val="18"/>
                <w:szCs w:val="18"/>
              </w:rPr>
              <w:t>一般工业固体废物</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1430" w:type="dxa"/>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973" w:type="dxa"/>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593" w:type="pct"/>
            <w:gridSpan w:val="2"/>
            <w:vAlign w:val="center"/>
          </w:tcPr>
          <w:p>
            <w:pPr>
              <w:spacing w:after="0"/>
              <w:jc w:val="distribute"/>
              <w:rPr>
                <w:rFonts w:ascii="Times New Roman" w:hAnsi="Times New Roman" w:eastAsia="黑体" w:cs="Times New Roman"/>
                <w:b/>
                <w:color w:val="auto"/>
                <w:sz w:val="18"/>
                <w:szCs w:val="18"/>
              </w:rPr>
            </w:pPr>
            <w:r>
              <w:rPr>
                <w:rFonts w:ascii="Times New Roman" w:hAnsi="Times New Roman" w:eastAsia="黑体" w:cs="Times New Roman"/>
                <w:b/>
                <w:color w:val="auto"/>
                <w:sz w:val="18"/>
                <w:szCs w:val="18"/>
              </w:rPr>
              <w:t>危险废物</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1430" w:type="dxa"/>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1379" w:type="dxa"/>
            <w:vAlign w:val="bottom"/>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973" w:type="dxa"/>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322" w:type="pct"/>
            <w:vMerge w:val="restart"/>
            <w:textDirection w:val="tbRlV"/>
            <w:vAlign w:val="center"/>
          </w:tcPr>
          <w:p>
            <w:pPr>
              <w:spacing w:after="0"/>
              <w:ind w:left="113" w:right="113"/>
              <w:jc w:val="distribute"/>
              <w:rPr>
                <w:rFonts w:ascii="Times New Roman" w:hAnsi="Times New Roman" w:eastAsia="宋体" w:cs="Times New Roman"/>
                <w:b/>
                <w:color w:val="auto"/>
                <w:sz w:val="15"/>
                <w:szCs w:val="15"/>
              </w:rPr>
            </w:pPr>
            <w:r>
              <w:rPr>
                <w:rFonts w:ascii="Times New Roman" w:hAnsi="Times New Roman" w:eastAsia="宋体" w:cs="Times New Roman"/>
                <w:b/>
                <w:color w:val="auto"/>
                <w:sz w:val="18"/>
                <w:szCs w:val="18"/>
              </w:rPr>
              <w:t>与项目有关的其它特征污染物</w:t>
            </w:r>
          </w:p>
        </w:tc>
        <w:tc>
          <w:tcPr>
            <w:tcW w:w="271" w:type="pct"/>
            <w:vAlign w:val="center"/>
          </w:tcPr>
          <w:p>
            <w:pPr>
              <w:spacing w:after="0"/>
              <w:jc w:val="center"/>
              <w:rPr>
                <w:rFonts w:ascii="Times New Roman" w:hAnsi="Times New Roman" w:eastAsia="宋体" w:cs="Times New Roman"/>
                <w:b/>
                <w:color w:val="auto"/>
                <w:sz w:val="18"/>
                <w:szCs w:val="18"/>
              </w:rPr>
            </w:pPr>
            <w:r>
              <w:rPr>
                <w:rFonts w:ascii="Times New Roman" w:hAnsi="Times New Roman" w:eastAsia="宋体" w:cs="Times New Roman"/>
                <w:b/>
                <w:color w:val="auto"/>
                <w:sz w:val="18"/>
                <w:szCs w:val="18"/>
              </w:rPr>
              <w:t>VOCs</w:t>
            </w: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8.42</w:t>
            </w:r>
          </w:p>
        </w:tc>
        <w:tc>
          <w:tcPr>
            <w:tcW w:w="511" w:type="pct"/>
            <w:gridSpan w:val="2"/>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50</w:t>
            </w: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r>
              <w:rPr>
                <w:rFonts w:hint="eastAsia" w:ascii="Times New Roman" w:hAnsi="Times New Roman" w:eastAsia="宋体" w:cs="Times New Roman"/>
                <w:b/>
                <w:color w:val="auto"/>
                <w:sz w:val="18"/>
                <w:szCs w:val="18"/>
              </w:rPr>
              <w:t>0.024</w:t>
            </w:r>
          </w:p>
        </w:tc>
        <w:tc>
          <w:tcPr>
            <w:tcW w:w="1430" w:type="dxa"/>
            <w:gridSpan w:val="2"/>
            <w:vAlign w:val="center"/>
          </w:tcPr>
          <w:p>
            <w:pPr>
              <w:spacing w:after="0"/>
              <w:jc w:val="center"/>
              <w:rPr>
                <w:rFonts w:ascii="Times New Roman" w:hAnsi="Times New Roman" w:eastAsia="宋体" w:cs="Times New Roman"/>
                <w:b/>
                <w:color w:val="auto"/>
                <w:sz w:val="18"/>
                <w:szCs w:val="18"/>
                <w:highlight w:val="yellow"/>
              </w:rPr>
            </w:pPr>
            <w:r>
              <w:rPr>
                <w:rFonts w:hint="eastAsia" w:ascii="Times New Roman" w:hAnsi="Times New Roman" w:eastAsia="宋体" w:cs="Times New Roman"/>
                <w:b/>
                <w:color w:val="auto"/>
                <w:sz w:val="18"/>
                <w:szCs w:val="18"/>
              </w:rPr>
              <w:t>0.024</w:t>
            </w:r>
          </w:p>
        </w:tc>
        <w:tc>
          <w:tcPr>
            <w:tcW w:w="394" w:type="pct"/>
            <w:vAlign w:val="center"/>
          </w:tcPr>
          <w:p>
            <w:pPr>
              <w:spacing w:after="0"/>
              <w:jc w:val="center"/>
              <w:rPr>
                <w:rFonts w:ascii="Times New Roman" w:hAnsi="Times New Roman" w:eastAsia="宋体" w:cs="Times New Roman"/>
                <w:b/>
                <w:color w:val="auto"/>
                <w:sz w:val="18"/>
                <w:szCs w:val="18"/>
                <w:highlight w:val="yellow"/>
              </w:rPr>
            </w:pPr>
          </w:p>
        </w:tc>
        <w:tc>
          <w:tcPr>
            <w:tcW w:w="1379" w:type="dxa"/>
            <w:vAlign w:val="bottom"/>
          </w:tcPr>
          <w:p>
            <w:pPr>
              <w:spacing w:after="0"/>
              <w:jc w:val="center"/>
              <w:rPr>
                <w:rFonts w:ascii="Times New Roman" w:hAnsi="Times New Roman" w:eastAsia="宋体" w:cs="Times New Roman"/>
                <w:b/>
                <w:color w:val="auto"/>
                <w:sz w:val="18"/>
                <w:szCs w:val="18"/>
                <w:highlight w:val="yellow"/>
              </w:rPr>
            </w:pPr>
          </w:p>
        </w:tc>
        <w:tc>
          <w:tcPr>
            <w:tcW w:w="330" w:type="pct"/>
            <w:gridSpan w:val="2"/>
            <w:vAlign w:val="center"/>
          </w:tcPr>
          <w:p>
            <w:pPr>
              <w:spacing w:after="0"/>
              <w:jc w:val="center"/>
              <w:rPr>
                <w:rFonts w:ascii="Times New Roman" w:hAnsi="Times New Roman" w:eastAsia="宋体" w:cs="Times New Roman"/>
                <w:b/>
                <w:color w:val="auto"/>
                <w:sz w:val="18"/>
                <w:szCs w:val="18"/>
                <w:highlight w:val="yellow"/>
              </w:rPr>
            </w:pPr>
          </w:p>
        </w:tc>
        <w:tc>
          <w:tcPr>
            <w:tcW w:w="339" w:type="pct"/>
            <w:gridSpan w:val="2"/>
            <w:vAlign w:val="center"/>
          </w:tcPr>
          <w:p>
            <w:pPr>
              <w:spacing w:after="0"/>
              <w:jc w:val="center"/>
              <w:rPr>
                <w:rFonts w:ascii="Times New Roman" w:hAnsi="Times New Roman" w:eastAsia="宋体" w:cs="Times New Roman"/>
                <w:b/>
                <w:color w:val="auto"/>
                <w:sz w:val="18"/>
                <w:szCs w:val="18"/>
                <w:highlight w:val="yellow"/>
              </w:rPr>
            </w:pPr>
          </w:p>
        </w:tc>
        <w:tc>
          <w:tcPr>
            <w:tcW w:w="973" w:type="dxa"/>
            <w:vAlign w:val="center"/>
          </w:tcPr>
          <w:p>
            <w:pPr>
              <w:spacing w:after="0"/>
              <w:jc w:val="center"/>
              <w:rPr>
                <w:rFonts w:ascii="Times New Roman" w:hAnsi="Times New Roman" w:eastAsia="宋体" w:cs="Times New Roman"/>
                <w:b/>
                <w:color w:val="auto"/>
                <w:sz w:val="18"/>
                <w:szCs w:val="18"/>
                <w:highlight w:val="yellow"/>
              </w:rPr>
            </w:pPr>
            <w:r>
              <w:rPr>
                <w:rFonts w:hint="eastAsia" w:ascii="Times New Roman" w:hAnsi="Times New Roman" w:eastAsia="宋体" w:cs="Times New Roman"/>
                <w:b/>
                <w:color w:val="auto"/>
                <w:sz w:val="18"/>
                <w:szCs w:val="18"/>
              </w:rPr>
              <w:t>0.024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322" w:type="pct"/>
            <w:vMerge w:val="continue"/>
            <w:textDirection w:val="tbRlV"/>
            <w:vAlign w:val="center"/>
          </w:tcPr>
          <w:p>
            <w:pPr>
              <w:spacing w:after="0"/>
              <w:ind w:left="113" w:right="113"/>
              <w:jc w:val="distribute"/>
              <w:rPr>
                <w:rFonts w:ascii="Times New Roman" w:hAnsi="Times New Roman" w:eastAsia="宋体" w:cs="Times New Roman"/>
                <w:b/>
                <w:color w:val="auto"/>
                <w:sz w:val="18"/>
                <w:szCs w:val="18"/>
              </w:rPr>
            </w:pPr>
          </w:p>
        </w:tc>
        <w:tc>
          <w:tcPr>
            <w:tcW w:w="271" w:type="pct"/>
            <w:vAlign w:val="center"/>
          </w:tcPr>
          <w:p>
            <w:pPr>
              <w:spacing w:after="0"/>
              <w:jc w:val="right"/>
              <w:rPr>
                <w:rFonts w:ascii="Times New Roman" w:hAnsi="Times New Roman" w:eastAsia="宋体" w:cs="Times New Roman"/>
                <w:b/>
                <w:color w:val="auto"/>
                <w:sz w:val="18"/>
                <w:szCs w:val="18"/>
              </w:rPr>
            </w:pP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326" w:type="pct"/>
            <w:vAlign w:val="center"/>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78" w:type="pct"/>
            <w:vMerge w:val="continue"/>
            <w:vAlign w:val="center"/>
          </w:tcPr>
          <w:p>
            <w:pPr>
              <w:spacing w:after="0"/>
              <w:jc w:val="center"/>
              <w:rPr>
                <w:rFonts w:ascii="Times New Roman" w:hAnsi="Times New Roman" w:eastAsia="宋体" w:cs="Times New Roman"/>
                <w:b/>
                <w:color w:val="auto"/>
                <w:sz w:val="18"/>
                <w:szCs w:val="18"/>
              </w:rPr>
            </w:pPr>
          </w:p>
        </w:tc>
        <w:tc>
          <w:tcPr>
            <w:tcW w:w="322" w:type="pct"/>
            <w:vMerge w:val="continue"/>
            <w:textDirection w:val="tbRlV"/>
            <w:vAlign w:val="center"/>
          </w:tcPr>
          <w:p>
            <w:pPr>
              <w:spacing w:after="0"/>
              <w:ind w:left="113" w:right="113"/>
              <w:jc w:val="distribute"/>
              <w:rPr>
                <w:rFonts w:ascii="Times New Roman" w:hAnsi="Times New Roman" w:eastAsia="宋体" w:cs="Times New Roman"/>
                <w:b/>
                <w:color w:val="auto"/>
                <w:sz w:val="18"/>
                <w:szCs w:val="18"/>
              </w:rPr>
            </w:pPr>
          </w:p>
        </w:tc>
        <w:tc>
          <w:tcPr>
            <w:tcW w:w="271" w:type="pct"/>
            <w:vAlign w:val="center"/>
          </w:tcPr>
          <w:p>
            <w:pPr>
              <w:spacing w:after="0"/>
              <w:jc w:val="right"/>
              <w:rPr>
                <w:rFonts w:ascii="Times New Roman" w:hAnsi="Times New Roman" w:eastAsia="宋体" w:cs="Times New Roman"/>
                <w:b/>
                <w:color w:val="auto"/>
                <w:sz w:val="18"/>
                <w:szCs w:val="18"/>
              </w:rPr>
            </w:pPr>
          </w:p>
        </w:tc>
        <w:tc>
          <w:tcPr>
            <w:tcW w:w="305" w:type="pct"/>
            <w:gridSpan w:val="2"/>
            <w:vAlign w:val="center"/>
          </w:tcPr>
          <w:p>
            <w:pPr>
              <w:spacing w:after="0"/>
              <w:jc w:val="center"/>
              <w:rPr>
                <w:rFonts w:ascii="Times New Roman" w:hAnsi="Times New Roman" w:eastAsia="宋体" w:cs="Times New Roman"/>
                <w:b/>
                <w:color w:val="auto"/>
                <w:sz w:val="18"/>
                <w:szCs w:val="18"/>
              </w:rPr>
            </w:pPr>
          </w:p>
        </w:tc>
        <w:tc>
          <w:tcPr>
            <w:tcW w:w="506" w:type="pct"/>
            <w:gridSpan w:val="2"/>
            <w:vAlign w:val="center"/>
          </w:tcPr>
          <w:p>
            <w:pPr>
              <w:spacing w:after="0"/>
              <w:jc w:val="center"/>
              <w:rPr>
                <w:rFonts w:ascii="Times New Roman" w:hAnsi="Times New Roman" w:eastAsia="宋体" w:cs="Times New Roman"/>
                <w:b/>
                <w:color w:val="auto"/>
                <w:sz w:val="18"/>
                <w:szCs w:val="18"/>
              </w:rPr>
            </w:pPr>
          </w:p>
        </w:tc>
        <w:tc>
          <w:tcPr>
            <w:tcW w:w="511" w:type="pct"/>
            <w:gridSpan w:val="2"/>
            <w:vAlign w:val="center"/>
          </w:tcPr>
          <w:p>
            <w:pPr>
              <w:spacing w:after="0"/>
              <w:jc w:val="center"/>
              <w:rPr>
                <w:rFonts w:ascii="Times New Roman" w:hAnsi="Times New Roman" w:eastAsia="宋体" w:cs="Times New Roman"/>
                <w:b/>
                <w:color w:val="auto"/>
                <w:sz w:val="18"/>
                <w:szCs w:val="18"/>
              </w:rPr>
            </w:pPr>
          </w:p>
        </w:tc>
        <w:tc>
          <w:tcPr>
            <w:tcW w:w="304" w:type="pct"/>
            <w:vAlign w:val="center"/>
          </w:tcPr>
          <w:p>
            <w:pPr>
              <w:spacing w:after="0"/>
              <w:jc w:val="center"/>
              <w:rPr>
                <w:rFonts w:ascii="Times New Roman" w:hAnsi="Times New Roman" w:eastAsia="宋体" w:cs="Times New Roman"/>
                <w:b/>
                <w:color w:val="auto"/>
                <w:sz w:val="18"/>
                <w:szCs w:val="18"/>
              </w:rPr>
            </w:pPr>
          </w:p>
        </w:tc>
        <w:tc>
          <w:tcPr>
            <w:tcW w:w="336" w:type="pct"/>
            <w:vAlign w:val="center"/>
          </w:tcPr>
          <w:p>
            <w:pPr>
              <w:spacing w:after="0"/>
              <w:jc w:val="center"/>
              <w:rPr>
                <w:rFonts w:ascii="Times New Roman" w:hAnsi="Times New Roman" w:eastAsia="宋体" w:cs="Times New Roman"/>
                <w:b/>
                <w:color w:val="auto"/>
                <w:sz w:val="18"/>
                <w:szCs w:val="18"/>
              </w:rPr>
            </w:pPr>
          </w:p>
        </w:tc>
        <w:tc>
          <w:tcPr>
            <w:tcW w:w="309" w:type="pct"/>
            <w:vAlign w:val="center"/>
          </w:tcPr>
          <w:p>
            <w:pPr>
              <w:spacing w:after="0"/>
              <w:jc w:val="center"/>
              <w:rPr>
                <w:rFonts w:ascii="Times New Roman" w:hAnsi="Times New Roman" w:eastAsia="宋体" w:cs="Times New Roman"/>
                <w:b/>
                <w:color w:val="auto"/>
                <w:sz w:val="18"/>
                <w:szCs w:val="18"/>
              </w:rPr>
            </w:pPr>
          </w:p>
        </w:tc>
        <w:tc>
          <w:tcPr>
            <w:tcW w:w="338" w:type="pct"/>
            <w:gridSpan w:val="2"/>
            <w:vAlign w:val="center"/>
          </w:tcPr>
          <w:p>
            <w:pPr>
              <w:spacing w:after="0"/>
              <w:jc w:val="center"/>
              <w:rPr>
                <w:rFonts w:ascii="Times New Roman" w:hAnsi="Times New Roman" w:eastAsia="宋体" w:cs="Times New Roman"/>
                <w:b/>
                <w:color w:val="auto"/>
                <w:sz w:val="18"/>
                <w:szCs w:val="18"/>
              </w:rPr>
            </w:pPr>
          </w:p>
        </w:tc>
        <w:tc>
          <w:tcPr>
            <w:tcW w:w="394" w:type="pct"/>
            <w:vAlign w:val="center"/>
          </w:tcPr>
          <w:p>
            <w:pPr>
              <w:spacing w:after="0"/>
              <w:jc w:val="center"/>
              <w:rPr>
                <w:rFonts w:ascii="Times New Roman" w:hAnsi="Times New Roman" w:eastAsia="宋体" w:cs="Times New Roman"/>
                <w:b/>
                <w:color w:val="auto"/>
                <w:sz w:val="18"/>
                <w:szCs w:val="18"/>
              </w:rPr>
            </w:pPr>
          </w:p>
        </w:tc>
        <w:tc>
          <w:tcPr>
            <w:tcW w:w="326" w:type="pct"/>
            <w:vAlign w:val="center"/>
          </w:tcPr>
          <w:p>
            <w:pPr>
              <w:spacing w:after="0"/>
              <w:jc w:val="center"/>
              <w:rPr>
                <w:rFonts w:ascii="Times New Roman" w:hAnsi="Times New Roman" w:eastAsia="宋体" w:cs="Times New Roman"/>
                <w:b/>
                <w:color w:val="auto"/>
                <w:sz w:val="18"/>
                <w:szCs w:val="18"/>
              </w:rPr>
            </w:pPr>
          </w:p>
        </w:tc>
        <w:tc>
          <w:tcPr>
            <w:tcW w:w="330" w:type="pct"/>
            <w:gridSpan w:val="2"/>
            <w:vAlign w:val="center"/>
          </w:tcPr>
          <w:p>
            <w:pPr>
              <w:spacing w:after="0"/>
              <w:jc w:val="center"/>
              <w:rPr>
                <w:rFonts w:ascii="Times New Roman" w:hAnsi="Times New Roman" w:eastAsia="宋体" w:cs="Times New Roman"/>
                <w:b/>
                <w:color w:val="auto"/>
                <w:sz w:val="18"/>
                <w:szCs w:val="18"/>
              </w:rPr>
            </w:pPr>
          </w:p>
        </w:tc>
        <w:tc>
          <w:tcPr>
            <w:tcW w:w="339" w:type="pct"/>
            <w:gridSpan w:val="2"/>
            <w:vAlign w:val="center"/>
          </w:tcPr>
          <w:p>
            <w:pPr>
              <w:spacing w:after="0"/>
              <w:jc w:val="center"/>
              <w:rPr>
                <w:rFonts w:ascii="Times New Roman" w:hAnsi="Times New Roman" w:eastAsia="宋体" w:cs="Times New Roman"/>
                <w:b/>
                <w:color w:val="auto"/>
                <w:sz w:val="18"/>
                <w:szCs w:val="18"/>
              </w:rPr>
            </w:pPr>
          </w:p>
        </w:tc>
        <w:tc>
          <w:tcPr>
            <w:tcW w:w="229" w:type="pct"/>
            <w:vAlign w:val="center"/>
          </w:tcPr>
          <w:p>
            <w:pPr>
              <w:spacing w:after="0"/>
              <w:jc w:val="center"/>
              <w:rPr>
                <w:rFonts w:ascii="Times New Roman" w:hAnsi="Times New Roman" w:eastAsia="宋体" w:cs="Times New Roman"/>
                <w:b/>
                <w:color w:val="auto"/>
                <w:sz w:val="18"/>
                <w:szCs w:val="18"/>
              </w:rPr>
            </w:pPr>
          </w:p>
        </w:tc>
      </w:tr>
    </w:tbl>
    <w:p>
      <w:pPr>
        <w:spacing w:line="288" w:lineRule="auto"/>
        <w:rPr>
          <w:rFonts w:eastAsia="宋体" w:cs="Times New Roman"/>
          <w:color w:val="auto"/>
          <w:sz w:val="15"/>
          <w:szCs w:val="15"/>
        </w:rPr>
      </w:pPr>
      <w:r>
        <w:rPr>
          <w:rFonts w:hint="eastAsia" w:eastAsia="宋体" w:cs="Times New Roman"/>
          <w:b/>
          <w:color w:val="auto"/>
          <w:sz w:val="15"/>
          <w:szCs w:val="15"/>
        </w:rPr>
        <w:t>注</w:t>
      </w:r>
      <w:r>
        <w:rPr>
          <w:rFonts w:hint="eastAsia" w:eastAsia="宋体" w:cs="Times New Roman"/>
          <w:color w:val="auto"/>
          <w:sz w:val="15"/>
          <w:szCs w:val="15"/>
        </w:rPr>
        <w:t>：</w:t>
      </w:r>
      <w:r>
        <w:rPr>
          <w:rFonts w:eastAsia="宋体" w:cs="Times New Roman"/>
          <w:color w:val="auto"/>
          <w:sz w:val="15"/>
          <w:szCs w:val="15"/>
        </w:rPr>
        <w:t>1</w:t>
      </w:r>
      <w:r>
        <w:rPr>
          <w:rFonts w:hint="eastAsia" w:eastAsia="宋体" w:cs="Times New Roman"/>
          <w:color w:val="auto"/>
          <w:sz w:val="15"/>
          <w:szCs w:val="15"/>
        </w:rPr>
        <w:t>、排放增减量：（</w:t>
      </w:r>
      <w:r>
        <w:rPr>
          <w:rFonts w:eastAsia="宋体" w:cs="Times New Roman"/>
          <w:color w:val="auto"/>
          <w:sz w:val="15"/>
          <w:szCs w:val="15"/>
        </w:rPr>
        <w:t>+</w:t>
      </w:r>
      <w:r>
        <w:rPr>
          <w:rFonts w:hint="eastAsia" w:eastAsia="宋体" w:cs="Times New Roman"/>
          <w:color w:val="auto"/>
          <w:sz w:val="15"/>
          <w:szCs w:val="15"/>
        </w:rPr>
        <w:t>）表示增加，（</w:t>
      </w:r>
      <w:r>
        <w:rPr>
          <w:rFonts w:eastAsia="宋体" w:cs="Times New Roman"/>
          <w:color w:val="auto"/>
          <w:sz w:val="15"/>
          <w:szCs w:val="15"/>
        </w:rPr>
        <w:t>-</w:t>
      </w:r>
      <w:r>
        <w:rPr>
          <w:rFonts w:hint="eastAsia" w:eastAsia="宋体" w:cs="Times New Roman"/>
          <w:color w:val="auto"/>
          <w:sz w:val="15"/>
          <w:szCs w:val="15"/>
        </w:rPr>
        <w:t>）表示减少；</w:t>
      </w:r>
      <w:r>
        <w:rPr>
          <w:rFonts w:eastAsia="宋体" w:cs="Times New Roman"/>
          <w:color w:val="auto"/>
          <w:sz w:val="15"/>
          <w:szCs w:val="15"/>
        </w:rPr>
        <w:t>2</w:t>
      </w:r>
      <w:r>
        <w:rPr>
          <w:rFonts w:hint="eastAsia" w:eastAsia="宋体" w:cs="Times New Roman"/>
          <w:color w:val="auto"/>
          <w:sz w:val="15"/>
          <w:szCs w:val="15"/>
        </w:rPr>
        <w:t>、</w:t>
      </w:r>
      <w:r>
        <w:rPr>
          <w:rFonts w:eastAsia="宋体" w:cs="Times New Roman"/>
          <w:color w:val="auto"/>
          <w:sz w:val="15"/>
          <w:szCs w:val="15"/>
        </w:rPr>
        <w:t>(12)=(6)-(8)-(11)</w:t>
      </w:r>
      <w:r>
        <w:rPr>
          <w:rFonts w:hint="eastAsia" w:eastAsia="宋体" w:cs="Times New Roman"/>
          <w:color w:val="auto"/>
          <w:sz w:val="15"/>
          <w:szCs w:val="15"/>
        </w:rPr>
        <w:t>，（</w:t>
      </w:r>
      <w:r>
        <w:rPr>
          <w:rFonts w:eastAsia="宋体" w:cs="Times New Roman"/>
          <w:color w:val="auto"/>
          <w:sz w:val="15"/>
          <w:szCs w:val="15"/>
        </w:rPr>
        <w:t>9</w:t>
      </w:r>
      <w:r>
        <w:rPr>
          <w:rFonts w:hint="eastAsia" w:eastAsia="宋体" w:cs="Times New Roman"/>
          <w:color w:val="auto"/>
          <w:sz w:val="15"/>
          <w:szCs w:val="15"/>
        </w:rPr>
        <w:t>）</w:t>
      </w:r>
      <w:r>
        <w:rPr>
          <w:rFonts w:eastAsia="宋体" w:cs="Times New Roman"/>
          <w:color w:val="auto"/>
          <w:sz w:val="15"/>
          <w:szCs w:val="15"/>
        </w:rPr>
        <w:t>= (4)-(5)-(8)- (11) +</w:t>
      </w:r>
      <w:r>
        <w:rPr>
          <w:rFonts w:hint="eastAsia" w:eastAsia="宋体" w:cs="Times New Roman"/>
          <w:color w:val="auto"/>
          <w:sz w:val="15"/>
          <w:szCs w:val="15"/>
        </w:rPr>
        <w:t>（</w:t>
      </w:r>
      <w:r>
        <w:rPr>
          <w:rFonts w:eastAsia="宋体" w:cs="Times New Roman"/>
          <w:color w:val="auto"/>
          <w:sz w:val="15"/>
          <w:szCs w:val="15"/>
        </w:rPr>
        <w:t>1</w:t>
      </w:r>
      <w:r>
        <w:rPr>
          <w:rFonts w:hint="eastAsia" w:eastAsia="宋体" w:cs="Times New Roman"/>
          <w:color w:val="auto"/>
          <w:sz w:val="15"/>
          <w:szCs w:val="15"/>
        </w:rPr>
        <w:t>）</w:t>
      </w:r>
    </w:p>
    <w:p>
      <w:pPr>
        <w:spacing w:line="288" w:lineRule="auto"/>
        <w:ind w:firstLine="300" w:firstLineChars="200"/>
        <w:rPr>
          <w:rFonts w:eastAsia="宋体" w:cs="Times New Roman"/>
          <w:color w:val="auto"/>
          <w:sz w:val="15"/>
          <w:szCs w:val="15"/>
        </w:rPr>
        <w:sectPr>
          <w:footerReference r:id="rId6" w:type="default"/>
          <w:pgSz w:w="23811" w:h="16838" w:orient="landscape"/>
          <w:pgMar w:top="1800" w:right="1440" w:bottom="1800" w:left="1440" w:header="851" w:footer="992" w:gutter="0"/>
          <w:cols w:space="425" w:num="1"/>
          <w:docGrid w:type="lines" w:linePitch="312" w:charSpace="0"/>
        </w:sectPr>
      </w:pPr>
      <w:r>
        <w:rPr>
          <w:rFonts w:eastAsia="宋体" w:cs="Times New Roman"/>
          <w:color w:val="auto"/>
          <w:sz w:val="15"/>
          <w:szCs w:val="15"/>
        </w:rPr>
        <w:t>3</w:t>
      </w:r>
      <w:r>
        <w:rPr>
          <w:rFonts w:hint="eastAsia" w:eastAsia="宋体" w:cs="Times New Roman"/>
          <w:color w:val="auto"/>
          <w:sz w:val="15"/>
          <w:szCs w:val="15"/>
        </w:rPr>
        <w:t>、计量单位：废水排放量</w:t>
      </w:r>
      <w:r>
        <w:rPr>
          <w:rFonts w:eastAsia="宋体" w:cs="Times New Roman"/>
          <w:color w:val="auto"/>
          <w:sz w:val="15"/>
          <w:szCs w:val="15"/>
        </w:rPr>
        <w:t>——</w:t>
      </w:r>
      <w:r>
        <w:rPr>
          <w:rFonts w:hint="eastAsia" w:eastAsia="宋体" w:cs="Times New Roman"/>
          <w:color w:val="auto"/>
          <w:sz w:val="15"/>
          <w:szCs w:val="15"/>
        </w:rPr>
        <w:t>万吨</w:t>
      </w:r>
      <w:r>
        <w:rPr>
          <w:rFonts w:eastAsia="宋体" w:cs="Times New Roman"/>
          <w:color w:val="auto"/>
          <w:sz w:val="15"/>
          <w:szCs w:val="15"/>
        </w:rPr>
        <w:t>/</w:t>
      </w:r>
      <w:r>
        <w:rPr>
          <w:rFonts w:hint="eastAsia" w:eastAsia="宋体" w:cs="Times New Roman"/>
          <w:color w:val="auto"/>
          <w:sz w:val="15"/>
          <w:szCs w:val="15"/>
        </w:rPr>
        <w:t>年；废气排放量</w:t>
      </w:r>
      <w:r>
        <w:rPr>
          <w:rFonts w:eastAsia="宋体" w:cs="Times New Roman"/>
          <w:color w:val="auto"/>
          <w:sz w:val="15"/>
          <w:szCs w:val="15"/>
        </w:rPr>
        <w:t>——</w:t>
      </w:r>
      <w:r>
        <w:rPr>
          <w:rFonts w:hint="eastAsia" w:eastAsia="宋体" w:cs="Times New Roman"/>
          <w:color w:val="auto"/>
          <w:sz w:val="15"/>
          <w:szCs w:val="15"/>
        </w:rPr>
        <w:t>万标立方米</w:t>
      </w:r>
      <w:r>
        <w:rPr>
          <w:rFonts w:eastAsia="宋体" w:cs="Times New Roman"/>
          <w:color w:val="auto"/>
          <w:sz w:val="15"/>
          <w:szCs w:val="15"/>
        </w:rPr>
        <w:t>/</w:t>
      </w:r>
      <w:r>
        <w:rPr>
          <w:rFonts w:hint="eastAsia" w:eastAsia="宋体" w:cs="Times New Roman"/>
          <w:color w:val="auto"/>
          <w:sz w:val="15"/>
          <w:szCs w:val="15"/>
        </w:rPr>
        <w:t>年；工业固体废物排放量</w:t>
      </w:r>
      <w:r>
        <w:rPr>
          <w:rFonts w:eastAsia="宋体" w:cs="Times New Roman"/>
          <w:color w:val="auto"/>
          <w:sz w:val="15"/>
          <w:szCs w:val="15"/>
        </w:rPr>
        <w:t>——</w:t>
      </w:r>
      <w:r>
        <w:rPr>
          <w:rFonts w:hint="eastAsia" w:eastAsia="宋体" w:cs="Times New Roman"/>
          <w:color w:val="auto"/>
          <w:sz w:val="15"/>
          <w:szCs w:val="15"/>
        </w:rPr>
        <w:t>万吨</w:t>
      </w:r>
      <w:r>
        <w:rPr>
          <w:rFonts w:eastAsia="宋体" w:cs="Times New Roman"/>
          <w:color w:val="auto"/>
          <w:sz w:val="15"/>
          <w:szCs w:val="15"/>
        </w:rPr>
        <w:t>/</w:t>
      </w:r>
      <w:r>
        <w:rPr>
          <w:rFonts w:hint="eastAsia" w:eastAsia="宋体" w:cs="Times New Roman"/>
          <w:color w:val="auto"/>
          <w:sz w:val="15"/>
          <w:szCs w:val="15"/>
        </w:rPr>
        <w:t>年；</w:t>
      </w:r>
      <w:r>
        <w:rPr>
          <w:rFonts w:eastAsia="宋体" w:cs="Times New Roman"/>
          <w:color w:val="auto"/>
          <w:sz w:val="15"/>
          <w:szCs w:val="15"/>
        </w:rPr>
        <w:t xml:space="preserve"> </w:t>
      </w:r>
      <w:r>
        <w:rPr>
          <w:rFonts w:hint="eastAsia" w:eastAsia="宋体" w:cs="Times New Roman"/>
          <w:color w:val="auto"/>
          <w:sz w:val="15"/>
          <w:szCs w:val="15"/>
        </w:rPr>
        <w:t>水污染物排放浓度</w:t>
      </w:r>
      <w:r>
        <w:rPr>
          <w:rFonts w:eastAsia="宋体" w:cs="Times New Roman"/>
          <w:color w:val="auto"/>
          <w:sz w:val="15"/>
          <w:szCs w:val="15"/>
        </w:rPr>
        <w:t>——</w:t>
      </w:r>
      <w:r>
        <w:rPr>
          <w:rFonts w:hint="eastAsia" w:eastAsia="宋体" w:cs="Times New Roman"/>
          <w:color w:val="auto"/>
          <w:sz w:val="15"/>
          <w:szCs w:val="15"/>
        </w:rPr>
        <w:t>毫克</w:t>
      </w:r>
      <w:r>
        <w:rPr>
          <w:rFonts w:eastAsia="宋体" w:cs="Times New Roman"/>
          <w:color w:val="auto"/>
          <w:sz w:val="15"/>
          <w:szCs w:val="15"/>
        </w:rPr>
        <w:t>/</w:t>
      </w:r>
      <w:r>
        <w:rPr>
          <w:rFonts w:hint="eastAsia" w:eastAsia="宋体" w:cs="Times New Roman"/>
          <w:color w:val="auto"/>
          <w:sz w:val="15"/>
          <w:szCs w:val="15"/>
        </w:rPr>
        <w:t>升；大气污染物排放浓度</w:t>
      </w:r>
      <w:r>
        <w:rPr>
          <w:rFonts w:eastAsia="宋体" w:cs="Times New Roman"/>
          <w:color w:val="auto"/>
          <w:sz w:val="15"/>
          <w:szCs w:val="15"/>
        </w:rPr>
        <w:t>——</w:t>
      </w:r>
      <w:r>
        <w:rPr>
          <w:rFonts w:hint="eastAsia" w:eastAsia="宋体" w:cs="Times New Roman"/>
          <w:color w:val="auto"/>
          <w:sz w:val="15"/>
          <w:szCs w:val="15"/>
        </w:rPr>
        <w:t>毫克</w:t>
      </w:r>
      <w:r>
        <w:rPr>
          <w:rFonts w:eastAsia="宋体" w:cs="Times New Roman"/>
          <w:color w:val="auto"/>
          <w:sz w:val="15"/>
          <w:szCs w:val="15"/>
        </w:rPr>
        <w:t>/</w:t>
      </w:r>
      <w:r>
        <w:rPr>
          <w:rFonts w:hint="eastAsia" w:eastAsia="宋体" w:cs="Times New Roman"/>
          <w:color w:val="auto"/>
          <w:sz w:val="15"/>
          <w:szCs w:val="15"/>
        </w:rPr>
        <w:t>立方米</w:t>
      </w:r>
      <w:r>
        <w:rPr>
          <w:rFonts w:hint="eastAsia" w:eastAsia="宋体" w:cs="Times New Roman"/>
          <w:color w:val="auto"/>
          <w:sz w:val="21"/>
          <w:szCs w:val="24"/>
        </w:rPr>
        <w:t>；</w:t>
      </w:r>
      <w:r>
        <w:rPr>
          <w:rFonts w:hint="eastAsia" w:eastAsia="宋体" w:cs="Times New Roman"/>
          <w:color w:val="auto"/>
          <w:sz w:val="15"/>
          <w:szCs w:val="15"/>
        </w:rPr>
        <w:t>水污染物排放量</w:t>
      </w:r>
      <w:r>
        <w:rPr>
          <w:rFonts w:eastAsia="宋体" w:cs="Times New Roman"/>
          <w:color w:val="auto"/>
          <w:sz w:val="15"/>
          <w:szCs w:val="15"/>
        </w:rPr>
        <w:t>——</w:t>
      </w:r>
      <w:r>
        <w:rPr>
          <w:rFonts w:hint="eastAsia" w:eastAsia="宋体" w:cs="Times New Roman"/>
          <w:color w:val="auto"/>
          <w:sz w:val="15"/>
          <w:szCs w:val="15"/>
        </w:rPr>
        <w:t>吨</w:t>
      </w:r>
      <w:r>
        <w:rPr>
          <w:rFonts w:eastAsia="宋体" w:cs="Times New Roman"/>
          <w:color w:val="auto"/>
          <w:sz w:val="15"/>
          <w:szCs w:val="15"/>
        </w:rPr>
        <w:t>/</w:t>
      </w:r>
      <w:r>
        <w:rPr>
          <w:rFonts w:hint="eastAsia" w:eastAsia="宋体" w:cs="Times New Roman"/>
          <w:color w:val="auto"/>
          <w:sz w:val="15"/>
          <w:szCs w:val="15"/>
        </w:rPr>
        <w:t>年；大气污染物排放量</w:t>
      </w:r>
      <w:r>
        <w:rPr>
          <w:rFonts w:eastAsia="宋体" w:cs="Times New Roman"/>
          <w:color w:val="auto"/>
          <w:sz w:val="15"/>
          <w:szCs w:val="15"/>
        </w:rPr>
        <w:t>——</w:t>
      </w:r>
      <w:r>
        <w:rPr>
          <w:rFonts w:hint="eastAsia" w:eastAsia="宋体" w:cs="Times New Roman"/>
          <w:color w:val="auto"/>
          <w:sz w:val="15"/>
          <w:szCs w:val="15"/>
        </w:rPr>
        <w:t>吨</w:t>
      </w:r>
      <w:r>
        <w:rPr>
          <w:rFonts w:eastAsia="宋体" w:cs="Times New Roman"/>
          <w:color w:val="auto"/>
          <w:sz w:val="15"/>
          <w:szCs w:val="15"/>
        </w:rPr>
        <w:t>/</w:t>
      </w:r>
      <w:r>
        <w:rPr>
          <w:rFonts w:hint="eastAsia" w:eastAsia="宋体" w:cs="Times New Roman"/>
          <w:color w:val="auto"/>
          <w:sz w:val="15"/>
          <w:szCs w:val="15"/>
        </w:rPr>
        <w:t>年</w:t>
      </w:r>
    </w:p>
    <w:p>
      <w:pPr>
        <w:pStyle w:val="4"/>
        <w:keepNext/>
        <w:keepLines/>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color w:val="auto"/>
          <w:sz w:val="32"/>
          <w:szCs w:val="32"/>
          <w:lang w:val="en-US" w:eastAsia="zh-CN"/>
        </w:rPr>
      </w:pPr>
      <w:bookmarkStart w:id="14" w:name="_Toc14614"/>
      <w:r>
        <w:rPr>
          <w:rFonts w:hint="eastAsia" w:ascii="宋体" w:hAnsi="宋体" w:eastAsia="宋体" w:cs="宋体"/>
          <w:color w:val="auto"/>
          <w:sz w:val="32"/>
          <w:szCs w:val="32"/>
          <w:lang w:val="en-US" w:eastAsia="zh-CN"/>
        </w:rPr>
        <w:t>附件目录</w:t>
      </w:r>
    </w:p>
    <w:p>
      <w:pPr>
        <w:rPr>
          <w:rFonts w:hint="eastAsia"/>
          <w:color w:val="auto"/>
          <w:lang w:val="en-US" w:eastAsia="zh-CN"/>
        </w:rPr>
      </w:pPr>
    </w:p>
    <w:p>
      <w:pPr>
        <w:pStyle w:val="49"/>
        <w:tabs>
          <w:tab w:val="right" w:leader="dot" w:pos="8313"/>
        </w:tabs>
        <w:rPr>
          <w:b w:val="0"/>
          <w:bCs/>
          <w:color w:val="auto"/>
          <w:sz w:val="28"/>
          <w:szCs w:val="28"/>
        </w:rPr>
      </w:pPr>
      <w:r>
        <w:rPr>
          <w:b w:val="0"/>
          <w:bCs/>
          <w:color w:val="auto"/>
          <w:sz w:val="28"/>
          <w:szCs w:val="28"/>
        </w:rPr>
        <w:fldChar w:fldCharType="begin"/>
      </w:r>
      <w:r>
        <w:rPr>
          <w:b w:val="0"/>
          <w:bCs/>
          <w:color w:val="auto"/>
          <w:sz w:val="28"/>
          <w:szCs w:val="28"/>
        </w:rPr>
        <w:instrText xml:space="preserve"> HYPERLINK \l _Toc27685 </w:instrText>
      </w:r>
      <w:r>
        <w:rPr>
          <w:b w:val="0"/>
          <w:bCs/>
          <w:color w:val="auto"/>
          <w:sz w:val="28"/>
          <w:szCs w:val="28"/>
        </w:rPr>
        <w:fldChar w:fldCharType="separate"/>
      </w:r>
      <w:r>
        <w:rPr>
          <w:rFonts w:hint="eastAsia"/>
          <w:b w:val="0"/>
          <w:bCs/>
          <w:color w:val="auto"/>
          <w:sz w:val="28"/>
          <w:szCs w:val="28"/>
        </w:rPr>
        <w:t>附件1</w:t>
      </w:r>
      <w:r>
        <w:rPr>
          <w:rFonts w:hint="eastAsia"/>
          <w:b w:val="0"/>
          <w:bCs/>
          <w:color w:val="auto"/>
          <w:sz w:val="28"/>
          <w:szCs w:val="28"/>
          <w:lang w:val="en-US" w:eastAsia="zh-CN"/>
        </w:rPr>
        <w:t xml:space="preserve">   环评批复</w:t>
      </w:r>
      <w:r>
        <w:rPr>
          <w:b w:val="0"/>
          <w:bCs/>
          <w:color w:val="auto"/>
          <w:sz w:val="28"/>
          <w:szCs w:val="28"/>
        </w:rPr>
        <w:fldChar w:fldCharType="end"/>
      </w:r>
    </w:p>
    <w:p>
      <w:pPr>
        <w:pStyle w:val="49"/>
        <w:tabs>
          <w:tab w:val="right" w:leader="dot" w:pos="8313"/>
        </w:tabs>
        <w:rPr>
          <w:rFonts w:hint="default" w:eastAsiaTheme="minorEastAsia"/>
          <w:b w:val="0"/>
          <w:bCs/>
          <w:color w:val="auto"/>
          <w:sz w:val="28"/>
          <w:szCs w:val="28"/>
          <w:lang w:val="en-US" w:eastAsia="zh-CN"/>
        </w:rPr>
      </w:pPr>
      <w:r>
        <w:rPr>
          <w:rFonts w:hint="eastAsia"/>
          <w:b w:val="0"/>
          <w:bCs/>
          <w:color w:val="auto"/>
          <w:sz w:val="28"/>
          <w:szCs w:val="28"/>
          <w:lang w:val="en-US" w:eastAsia="zh-CN"/>
        </w:rPr>
        <w:t>附件2   废气检测报告</w:t>
      </w:r>
    </w:p>
    <w:p>
      <w:pPr>
        <w:pStyle w:val="49"/>
        <w:tabs>
          <w:tab w:val="right" w:leader="dot" w:pos="8313"/>
        </w:tabs>
        <w:rPr>
          <w:rFonts w:hint="default" w:eastAsiaTheme="minorEastAsia"/>
          <w:b w:val="0"/>
          <w:bCs/>
          <w:color w:val="auto"/>
          <w:sz w:val="28"/>
          <w:szCs w:val="28"/>
          <w:lang w:val="en-US" w:eastAsia="zh-CN"/>
        </w:rPr>
      </w:pPr>
      <w:r>
        <w:rPr>
          <w:b w:val="0"/>
          <w:bCs/>
          <w:color w:val="auto"/>
          <w:sz w:val="28"/>
          <w:szCs w:val="28"/>
        </w:rPr>
        <w:fldChar w:fldCharType="begin"/>
      </w:r>
      <w:r>
        <w:rPr>
          <w:b w:val="0"/>
          <w:bCs/>
          <w:color w:val="auto"/>
          <w:sz w:val="28"/>
          <w:szCs w:val="28"/>
        </w:rPr>
        <w:instrText xml:space="preserve"> HYPERLINK \l _Toc13788 </w:instrText>
      </w:r>
      <w:r>
        <w:rPr>
          <w:b w:val="0"/>
          <w:bCs/>
          <w:color w:val="auto"/>
          <w:sz w:val="28"/>
          <w:szCs w:val="28"/>
        </w:rPr>
        <w:fldChar w:fldCharType="separate"/>
      </w:r>
      <w:r>
        <w:rPr>
          <w:rFonts w:hint="eastAsia"/>
          <w:b w:val="0"/>
          <w:bCs/>
          <w:color w:val="auto"/>
          <w:sz w:val="28"/>
          <w:szCs w:val="28"/>
          <w:lang w:val="en-US" w:eastAsia="zh-CN"/>
        </w:rPr>
        <w:t>附件3   噪声</w:t>
      </w:r>
      <w:r>
        <w:rPr>
          <w:b w:val="0"/>
          <w:bCs/>
          <w:color w:val="auto"/>
          <w:sz w:val="28"/>
          <w:szCs w:val="28"/>
        </w:rPr>
        <w:fldChar w:fldCharType="end"/>
      </w:r>
      <w:r>
        <w:rPr>
          <w:rFonts w:hint="eastAsia"/>
          <w:b w:val="0"/>
          <w:bCs/>
          <w:color w:val="auto"/>
          <w:sz w:val="28"/>
          <w:szCs w:val="28"/>
          <w:lang w:val="en-US" w:eastAsia="zh-CN"/>
        </w:rPr>
        <w:t>检测报告</w:t>
      </w:r>
    </w:p>
    <w:p>
      <w:pPr>
        <w:pStyle w:val="49"/>
        <w:tabs>
          <w:tab w:val="right" w:leader="dot" w:pos="8313"/>
        </w:tabs>
        <w:rPr>
          <w:rFonts w:hint="eastAsia"/>
          <w:b w:val="0"/>
          <w:bCs/>
          <w:color w:val="auto"/>
          <w:sz w:val="28"/>
          <w:szCs w:val="28"/>
          <w:lang w:val="en-US" w:eastAsia="zh-CN"/>
        </w:rPr>
      </w:pPr>
      <w:r>
        <w:rPr>
          <w:b w:val="0"/>
          <w:bCs/>
          <w:color w:val="auto"/>
          <w:sz w:val="28"/>
          <w:szCs w:val="28"/>
        </w:rPr>
        <w:fldChar w:fldCharType="begin"/>
      </w:r>
      <w:r>
        <w:rPr>
          <w:b w:val="0"/>
          <w:bCs/>
          <w:color w:val="auto"/>
          <w:sz w:val="28"/>
          <w:szCs w:val="28"/>
        </w:rPr>
        <w:instrText xml:space="preserve"> HYPERLINK \l _Toc19813 </w:instrText>
      </w:r>
      <w:r>
        <w:rPr>
          <w:b w:val="0"/>
          <w:bCs/>
          <w:color w:val="auto"/>
          <w:sz w:val="28"/>
          <w:szCs w:val="28"/>
        </w:rPr>
        <w:fldChar w:fldCharType="separate"/>
      </w:r>
      <w:r>
        <w:rPr>
          <w:rFonts w:hint="eastAsia"/>
          <w:b w:val="0"/>
          <w:bCs/>
          <w:color w:val="auto"/>
          <w:sz w:val="28"/>
          <w:szCs w:val="28"/>
          <w:lang w:val="en-US" w:eastAsia="zh-CN"/>
        </w:rPr>
        <w:t>附件4   废水</w:t>
      </w:r>
      <w:r>
        <w:rPr>
          <w:b w:val="0"/>
          <w:bCs/>
          <w:color w:val="auto"/>
          <w:sz w:val="28"/>
          <w:szCs w:val="28"/>
        </w:rPr>
        <w:fldChar w:fldCharType="end"/>
      </w:r>
      <w:r>
        <w:rPr>
          <w:rFonts w:hint="eastAsia"/>
          <w:b w:val="0"/>
          <w:bCs/>
          <w:color w:val="auto"/>
          <w:sz w:val="28"/>
          <w:szCs w:val="28"/>
          <w:lang w:val="en-US" w:eastAsia="zh-CN"/>
        </w:rPr>
        <w:t>检测报告</w:t>
      </w:r>
    </w:p>
    <w:p>
      <w:pPr>
        <w:pStyle w:val="49"/>
        <w:tabs>
          <w:tab w:val="right" w:leader="dot" w:pos="8313"/>
        </w:tabs>
        <w:rPr>
          <w:rFonts w:hint="default"/>
          <w:b w:val="0"/>
          <w:bCs/>
          <w:color w:val="auto"/>
          <w:sz w:val="28"/>
          <w:szCs w:val="28"/>
          <w:lang w:val="en-US" w:eastAsia="zh-CN"/>
        </w:rPr>
      </w:pPr>
      <w:r>
        <w:rPr>
          <w:rFonts w:hint="eastAsia"/>
          <w:b w:val="0"/>
          <w:bCs/>
          <w:color w:val="auto"/>
          <w:sz w:val="28"/>
          <w:szCs w:val="28"/>
          <w:lang w:val="en-US" w:eastAsia="zh-CN"/>
        </w:rPr>
        <w:t>附件5   危废处置协议</w:t>
      </w:r>
    </w:p>
    <w:p>
      <w:pPr>
        <w:pStyle w:val="2"/>
        <w:rPr>
          <w:rFonts w:hint="default"/>
          <w:color w:val="auto"/>
          <w:lang w:val="en-US" w:eastAsia="zh-CN"/>
        </w:rPr>
      </w:pPr>
    </w:p>
    <w:p>
      <w:pPr>
        <w:pStyle w:val="4"/>
        <w:keepNext/>
        <w:keepLines/>
        <w:pageBreakBefore w:val="0"/>
        <w:widowControl/>
        <w:kinsoku/>
        <w:wordWrap/>
        <w:overflowPunct/>
        <w:topLinePunct w:val="0"/>
        <w:autoSpaceDE/>
        <w:autoSpaceDN/>
        <w:bidi w:val="0"/>
        <w:adjustRightInd w:val="0"/>
        <w:snapToGrid w:val="0"/>
        <w:spacing w:after="0" w:line="240" w:lineRule="auto"/>
        <w:textAlignment w:val="auto"/>
        <w:rPr>
          <w:rFonts w:hint="default" w:eastAsia="微软雅黑"/>
          <w:color w:val="auto"/>
          <w:sz w:val="24"/>
          <w:szCs w:val="24"/>
          <w:lang w:val="en-US" w:eastAsia="zh-CN"/>
        </w:rPr>
      </w:pPr>
      <w:r>
        <w:rPr>
          <w:rFonts w:hint="eastAsia"/>
          <w:color w:val="auto"/>
          <w:sz w:val="24"/>
          <w:szCs w:val="24"/>
        </w:rPr>
        <w:t>附件1</w:t>
      </w:r>
      <w:bookmarkEnd w:id="14"/>
      <w:r>
        <w:rPr>
          <w:rFonts w:hint="eastAsia"/>
          <w:color w:val="auto"/>
          <w:sz w:val="24"/>
          <w:szCs w:val="24"/>
          <w:lang w:val="en-US" w:eastAsia="zh-CN"/>
        </w:rPr>
        <w:t xml:space="preserve"> 环评批复</w:t>
      </w:r>
    </w:p>
    <w:p>
      <w:pPr>
        <w:adjustRightInd/>
        <w:snapToGrid/>
        <w:spacing w:after="0"/>
        <w:rPr>
          <w:color w:val="auto"/>
        </w:rPr>
      </w:pPr>
      <w:r>
        <w:rPr>
          <w:color w:val="auto"/>
        </w:rPr>
        <w:drawing>
          <wp:inline distT="0" distB="0" distL="0" distR="0">
            <wp:extent cx="5278755" cy="7181850"/>
            <wp:effectExtent l="0" t="0" r="1714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9"/>
                    <a:stretch>
                      <a:fillRect/>
                    </a:stretch>
                  </pic:blipFill>
                  <pic:spPr>
                    <a:xfrm>
                      <a:off x="0" y="0"/>
                      <a:ext cx="5278755" cy="7181917"/>
                    </a:xfrm>
                    <a:prstGeom prst="rect">
                      <a:avLst/>
                    </a:prstGeom>
                  </pic:spPr>
                </pic:pic>
              </a:graphicData>
            </a:graphic>
          </wp:inline>
        </w:drawing>
      </w:r>
    </w:p>
    <w:p>
      <w:pPr>
        <w:pStyle w:val="24"/>
        <w:ind w:left="440"/>
        <w:rPr>
          <w:color w:val="auto"/>
        </w:rPr>
      </w:pPr>
      <w:r>
        <w:rPr>
          <w:color w:val="auto"/>
        </w:rPr>
        <w:br w:type="page"/>
      </w:r>
    </w:p>
    <w:p>
      <w:pPr>
        <w:adjustRightInd/>
        <w:snapToGrid/>
        <w:spacing w:after="0"/>
        <w:rPr>
          <w:color w:val="auto"/>
        </w:rPr>
      </w:pPr>
      <w:r>
        <w:rPr>
          <w:color w:val="auto"/>
        </w:rPr>
        <w:drawing>
          <wp:inline distT="0" distB="0" distL="0" distR="0">
            <wp:extent cx="5278755" cy="7262495"/>
            <wp:effectExtent l="0" t="0" r="17145" b="146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0"/>
                    <a:stretch>
                      <a:fillRect/>
                    </a:stretch>
                  </pic:blipFill>
                  <pic:spPr>
                    <a:xfrm>
                      <a:off x="0" y="0"/>
                      <a:ext cx="5278755" cy="7262565"/>
                    </a:xfrm>
                    <a:prstGeom prst="rect">
                      <a:avLst/>
                    </a:prstGeom>
                  </pic:spPr>
                </pic:pic>
              </a:graphicData>
            </a:graphic>
          </wp:inline>
        </w:drawing>
      </w:r>
    </w:p>
    <w:p>
      <w:pPr>
        <w:pStyle w:val="24"/>
        <w:ind w:left="440"/>
        <w:rPr>
          <w:color w:val="auto"/>
        </w:rPr>
      </w:pPr>
      <w:r>
        <w:rPr>
          <w:color w:val="auto"/>
        </w:rPr>
        <w:br w:type="page"/>
      </w:r>
    </w:p>
    <w:p>
      <w:pPr>
        <w:adjustRightInd/>
        <w:snapToGrid/>
        <w:spacing w:after="0"/>
        <w:rPr>
          <w:color w:val="auto"/>
        </w:rPr>
      </w:pPr>
      <w:r>
        <w:rPr>
          <w:color w:val="auto"/>
        </w:rPr>
        <w:drawing>
          <wp:inline distT="0" distB="0" distL="0" distR="0">
            <wp:extent cx="5278755" cy="7143115"/>
            <wp:effectExtent l="0" t="0" r="17145"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1"/>
                    <a:stretch>
                      <a:fillRect/>
                    </a:stretch>
                  </pic:blipFill>
                  <pic:spPr>
                    <a:xfrm>
                      <a:off x="0" y="0"/>
                      <a:ext cx="5278755" cy="7143482"/>
                    </a:xfrm>
                    <a:prstGeom prst="rect">
                      <a:avLst/>
                    </a:prstGeom>
                  </pic:spPr>
                </pic:pic>
              </a:graphicData>
            </a:graphic>
          </wp:inline>
        </w:drawing>
      </w:r>
    </w:p>
    <w:p>
      <w:pPr>
        <w:pStyle w:val="24"/>
        <w:ind w:left="440"/>
        <w:rPr>
          <w:color w:val="auto"/>
        </w:rPr>
      </w:pPr>
      <w:r>
        <w:rPr>
          <w:color w:val="auto"/>
        </w:rPr>
        <w:br w:type="page"/>
      </w:r>
    </w:p>
    <w:p>
      <w:pPr>
        <w:adjustRightInd/>
        <w:snapToGrid/>
        <w:spacing w:after="0"/>
        <w:rPr>
          <w:color w:val="auto"/>
        </w:rPr>
      </w:pPr>
      <w:r>
        <w:rPr>
          <w:color w:val="auto"/>
        </w:rPr>
        <w:drawing>
          <wp:inline distT="0" distB="0" distL="0" distR="0">
            <wp:extent cx="5278755" cy="7412355"/>
            <wp:effectExtent l="0" t="0" r="17145" b="1714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2"/>
                    <a:stretch>
                      <a:fillRect/>
                    </a:stretch>
                  </pic:blipFill>
                  <pic:spPr>
                    <a:xfrm>
                      <a:off x="0" y="0"/>
                      <a:ext cx="5278755" cy="7412863"/>
                    </a:xfrm>
                    <a:prstGeom prst="rect">
                      <a:avLst/>
                    </a:prstGeom>
                  </pic:spPr>
                </pic:pic>
              </a:graphicData>
            </a:graphic>
          </wp:inline>
        </w:drawing>
      </w:r>
    </w:p>
    <w:p>
      <w:pPr>
        <w:pStyle w:val="24"/>
        <w:ind w:left="440"/>
        <w:rPr>
          <w:color w:val="auto"/>
        </w:rPr>
      </w:pPr>
    </w:p>
    <w:p>
      <w:pPr>
        <w:pStyle w:val="24"/>
        <w:ind w:left="440"/>
        <w:rPr>
          <w:color w:val="auto"/>
          <w:sz w:val="24"/>
          <w:szCs w:val="24"/>
        </w:rPr>
      </w:pPr>
    </w:p>
    <w:p>
      <w:pPr>
        <w:pStyle w:val="24"/>
        <w:ind w:left="440"/>
        <w:rPr>
          <w:color w:val="auto"/>
          <w:sz w:val="24"/>
          <w:szCs w:val="24"/>
        </w:rPr>
      </w:pPr>
    </w:p>
    <w:p>
      <w:pPr>
        <w:pStyle w:val="4"/>
        <w:keepNext/>
        <w:keepLines/>
        <w:pageBreakBefore w:val="0"/>
        <w:widowControl/>
        <w:kinsoku/>
        <w:wordWrap/>
        <w:overflowPunct/>
        <w:topLinePunct w:val="0"/>
        <w:autoSpaceDE/>
        <w:autoSpaceDN/>
        <w:bidi w:val="0"/>
        <w:adjustRightInd w:val="0"/>
        <w:snapToGrid w:val="0"/>
        <w:spacing w:after="0" w:line="240" w:lineRule="auto"/>
        <w:textAlignment w:val="auto"/>
        <w:rPr>
          <w:rFonts w:hint="default" w:eastAsia="微软雅黑"/>
          <w:color w:val="auto"/>
          <w:sz w:val="24"/>
          <w:szCs w:val="24"/>
          <w:lang w:val="en-US" w:eastAsia="zh-CN"/>
        </w:rPr>
      </w:pPr>
      <w:r>
        <w:rPr>
          <w:rFonts w:hint="eastAsia"/>
          <w:color w:val="auto"/>
          <w:sz w:val="24"/>
          <w:szCs w:val="24"/>
        </w:rPr>
        <w:t>附件2</w:t>
      </w:r>
      <w:r>
        <w:rPr>
          <w:rFonts w:hint="eastAsia"/>
          <w:color w:val="auto"/>
          <w:sz w:val="24"/>
          <w:szCs w:val="24"/>
          <w:lang w:val="en-US" w:eastAsia="zh-CN"/>
        </w:rPr>
        <w:t xml:space="preserve">  废气检测报告</w:t>
      </w:r>
    </w:p>
    <w:p>
      <w:pPr>
        <w:pStyle w:val="24"/>
        <w:spacing w:after="0" w:line="0" w:lineRule="atLeast"/>
        <w:ind w:left="0" w:leftChars="0"/>
        <w:jc w:val="left"/>
        <w:rPr>
          <w:color w:val="auto"/>
        </w:rPr>
      </w:pPr>
      <w:r>
        <w:rPr>
          <w:color w:val="auto"/>
        </w:rPr>
        <w:drawing>
          <wp:inline distT="0" distB="0" distL="0" distR="0">
            <wp:extent cx="5255260" cy="74295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57678" cy="7432091"/>
                    </a:xfrm>
                    <a:prstGeom prst="rect">
                      <a:avLst/>
                    </a:prstGeom>
                  </pic:spPr>
                </pic:pic>
              </a:graphicData>
            </a:graphic>
          </wp:inline>
        </w:drawing>
      </w:r>
    </w:p>
    <w:p>
      <w:pPr>
        <w:spacing w:line="288" w:lineRule="auto"/>
        <w:ind w:firstLine="440" w:firstLineChars="200"/>
        <w:rPr>
          <w:color w:val="auto"/>
        </w:rPr>
      </w:pPr>
      <w:r>
        <w:rPr>
          <w:color w:val="auto"/>
        </w:rPr>
        <w:drawing>
          <wp:inline distT="0" distB="0" distL="0" distR="0">
            <wp:extent cx="5278755" cy="7461885"/>
            <wp:effectExtent l="0" t="0" r="17145"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8755" cy="7461885"/>
                    </a:xfrm>
                    <a:prstGeom prst="rect">
                      <a:avLst/>
                    </a:prstGeom>
                  </pic:spPr>
                </pic:pic>
              </a:graphicData>
            </a:graphic>
          </wp:inline>
        </w:drawing>
      </w:r>
      <w:r>
        <w:rPr>
          <w:color w:val="auto"/>
        </w:rPr>
        <w:drawing>
          <wp:inline distT="0" distB="0" distL="0" distR="0">
            <wp:extent cx="5278755" cy="7461885"/>
            <wp:effectExtent l="0" t="0" r="17145"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8755" cy="7461885"/>
                    </a:xfrm>
                    <a:prstGeom prst="rect">
                      <a:avLst/>
                    </a:prstGeom>
                  </pic:spPr>
                </pic:pic>
              </a:graphicData>
            </a:graphic>
          </wp:inline>
        </w:drawing>
      </w:r>
      <w:r>
        <w:rPr>
          <w:color w:val="auto"/>
        </w:rPr>
        <w:drawing>
          <wp:inline distT="0" distB="0" distL="0" distR="0">
            <wp:extent cx="5278755" cy="7461885"/>
            <wp:effectExtent l="0" t="0" r="17145"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8755" cy="7461885"/>
                    </a:xfrm>
                    <a:prstGeom prst="rect">
                      <a:avLst/>
                    </a:prstGeom>
                  </pic:spPr>
                </pic:pic>
              </a:graphicData>
            </a:graphic>
          </wp:inline>
        </w:drawing>
      </w:r>
      <w:r>
        <w:rPr>
          <w:color w:val="auto"/>
        </w:rPr>
        <w:drawing>
          <wp:inline distT="0" distB="0" distL="0" distR="0">
            <wp:extent cx="5278755" cy="7461885"/>
            <wp:effectExtent l="0" t="0" r="17145" b="571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8755" cy="7461885"/>
                    </a:xfrm>
                    <a:prstGeom prst="rect">
                      <a:avLst/>
                    </a:prstGeom>
                  </pic:spPr>
                </pic:pic>
              </a:graphicData>
            </a:graphic>
          </wp:inline>
        </w:drawing>
      </w:r>
    </w:p>
    <w:p>
      <w:pPr>
        <w:spacing w:line="288" w:lineRule="auto"/>
        <w:ind w:firstLine="440" w:firstLineChars="200"/>
        <w:rPr>
          <w:color w:val="auto"/>
        </w:rPr>
      </w:pPr>
    </w:p>
    <w:p>
      <w:pPr>
        <w:pStyle w:val="2"/>
        <w:rPr>
          <w:color w:val="auto"/>
        </w:rPr>
      </w:pPr>
    </w:p>
    <w:p>
      <w:pPr>
        <w:pStyle w:val="3"/>
        <w:rPr>
          <w:color w:val="auto"/>
        </w:rPr>
      </w:pPr>
    </w:p>
    <w:p>
      <w:pPr>
        <w:pStyle w:val="4"/>
        <w:keepNext/>
        <w:keepLines/>
        <w:pageBreakBefore w:val="0"/>
        <w:widowControl/>
        <w:kinsoku/>
        <w:wordWrap/>
        <w:overflowPunct/>
        <w:topLinePunct w:val="0"/>
        <w:autoSpaceDE/>
        <w:autoSpaceDN/>
        <w:bidi w:val="0"/>
        <w:adjustRightInd w:val="0"/>
        <w:snapToGrid w:val="0"/>
        <w:spacing w:after="0" w:line="240" w:lineRule="auto"/>
        <w:textAlignment w:val="auto"/>
        <w:rPr>
          <w:rFonts w:hint="default"/>
          <w:color w:val="auto"/>
          <w:sz w:val="24"/>
          <w:szCs w:val="24"/>
          <w:lang w:val="en-US" w:eastAsia="zh-CN"/>
        </w:rPr>
      </w:pPr>
      <w:r>
        <w:rPr>
          <w:rFonts w:hint="eastAsia"/>
          <w:color w:val="auto"/>
          <w:sz w:val="24"/>
          <w:szCs w:val="24"/>
          <w:lang w:val="en-US" w:eastAsia="zh-CN"/>
        </w:rPr>
        <w:t>附件3  噪声检测报告</w:t>
      </w:r>
    </w:p>
    <w:p>
      <w:pPr>
        <w:rPr>
          <w:color w:val="auto"/>
        </w:rPr>
      </w:pPr>
      <w:r>
        <w:rPr>
          <w:color w:val="auto"/>
        </w:rPr>
        <w:drawing>
          <wp:inline distT="0" distB="0" distL="0" distR="0">
            <wp:extent cx="4907915" cy="6938010"/>
            <wp:effectExtent l="0" t="0" r="6985" b="1524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07915" cy="6938010"/>
                    </a:xfrm>
                    <a:prstGeom prst="rect">
                      <a:avLst/>
                    </a:prstGeom>
                  </pic:spPr>
                </pic:pic>
              </a:graphicData>
            </a:graphic>
          </wp:inline>
        </w:drawing>
      </w:r>
    </w:p>
    <w:p>
      <w:pPr>
        <w:spacing w:line="288" w:lineRule="auto"/>
        <w:ind w:firstLine="440" w:firstLineChars="200"/>
        <w:rPr>
          <w:color w:val="auto"/>
        </w:rPr>
      </w:pPr>
      <w:r>
        <w:rPr>
          <w:color w:val="auto"/>
        </w:rPr>
        <w:drawing>
          <wp:inline distT="0" distB="0" distL="0" distR="0">
            <wp:extent cx="5278755" cy="7461885"/>
            <wp:effectExtent l="0" t="0" r="17145" b="571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8755" cy="7461885"/>
                    </a:xfrm>
                    <a:prstGeom prst="rect">
                      <a:avLst/>
                    </a:prstGeom>
                  </pic:spPr>
                </pic:pic>
              </a:graphicData>
            </a:graphic>
          </wp:inline>
        </w:drawing>
      </w:r>
      <w:r>
        <w:rPr>
          <w:color w:val="auto"/>
        </w:rPr>
        <w:drawing>
          <wp:inline distT="0" distB="0" distL="0" distR="0">
            <wp:extent cx="5278755" cy="7461885"/>
            <wp:effectExtent l="0" t="0" r="17145" b="571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8755" cy="7461885"/>
                    </a:xfrm>
                    <a:prstGeom prst="rect">
                      <a:avLst/>
                    </a:prstGeom>
                  </pic:spPr>
                </pic:pic>
              </a:graphicData>
            </a:graphic>
          </wp:inline>
        </w:drawing>
      </w:r>
      <w:r>
        <w:rPr>
          <w:color w:val="auto"/>
        </w:rPr>
        <w:drawing>
          <wp:inline distT="0" distB="0" distL="0" distR="0">
            <wp:extent cx="5278755" cy="7461885"/>
            <wp:effectExtent l="0" t="0" r="17145" b="571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1" cstate="print"/>
                    <a:stretch>
                      <a:fillRect/>
                    </a:stretch>
                  </pic:blipFill>
                  <pic:spPr>
                    <a:xfrm>
                      <a:off x="0" y="0"/>
                      <a:ext cx="5278755" cy="7461885"/>
                    </a:xfrm>
                    <a:prstGeom prst="rect">
                      <a:avLst/>
                    </a:prstGeom>
                  </pic:spPr>
                </pic:pic>
              </a:graphicData>
            </a:graphic>
          </wp:inline>
        </w:drawing>
      </w:r>
    </w:p>
    <w:p>
      <w:pPr>
        <w:pStyle w:val="2"/>
        <w:rPr>
          <w:color w:val="auto"/>
        </w:rPr>
      </w:pPr>
    </w:p>
    <w:p>
      <w:pPr>
        <w:pStyle w:val="3"/>
        <w:rPr>
          <w:color w:val="auto"/>
        </w:rPr>
      </w:pPr>
    </w:p>
    <w:p>
      <w:pPr>
        <w:rPr>
          <w:color w:val="auto"/>
        </w:rPr>
      </w:pPr>
    </w:p>
    <w:p>
      <w:pPr>
        <w:pStyle w:val="4"/>
        <w:keepNext/>
        <w:keepLines/>
        <w:pageBreakBefore w:val="0"/>
        <w:widowControl/>
        <w:kinsoku/>
        <w:wordWrap/>
        <w:overflowPunct/>
        <w:topLinePunct w:val="0"/>
        <w:autoSpaceDE/>
        <w:autoSpaceDN/>
        <w:bidi w:val="0"/>
        <w:adjustRightInd w:val="0"/>
        <w:snapToGrid w:val="0"/>
        <w:spacing w:after="0" w:line="240" w:lineRule="auto"/>
        <w:textAlignment w:val="auto"/>
        <w:rPr>
          <w:rFonts w:hint="default"/>
          <w:color w:val="auto"/>
          <w:sz w:val="24"/>
          <w:szCs w:val="24"/>
          <w:lang w:val="en-US" w:eastAsia="zh-CN"/>
        </w:rPr>
      </w:pPr>
      <w:r>
        <w:rPr>
          <w:rFonts w:hint="eastAsia"/>
          <w:color w:val="auto"/>
          <w:sz w:val="24"/>
          <w:szCs w:val="24"/>
          <w:lang w:val="en-US" w:eastAsia="zh-CN"/>
        </w:rPr>
        <w:t>附件4  废水检测报告</w:t>
      </w:r>
    </w:p>
    <w:p>
      <w:pPr>
        <w:pStyle w:val="2"/>
        <w:rPr>
          <w:color w:val="auto"/>
        </w:rPr>
      </w:pPr>
      <w:r>
        <w:rPr>
          <w:color w:val="auto"/>
        </w:rPr>
        <w:drawing>
          <wp:inline distT="0" distB="0" distL="114300" distR="114300">
            <wp:extent cx="5273675" cy="7247255"/>
            <wp:effectExtent l="0" t="0" r="3175" b="10795"/>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42"/>
                    <a:stretch>
                      <a:fillRect/>
                    </a:stretch>
                  </pic:blipFill>
                  <pic:spPr>
                    <a:xfrm>
                      <a:off x="0" y="0"/>
                      <a:ext cx="5273675" cy="7247255"/>
                    </a:xfrm>
                    <a:prstGeom prst="rect">
                      <a:avLst/>
                    </a:prstGeom>
                    <a:noFill/>
                    <a:ln>
                      <a:noFill/>
                    </a:ln>
                  </pic:spPr>
                </pic:pic>
              </a:graphicData>
            </a:graphic>
          </wp:inline>
        </w:drawing>
      </w:r>
    </w:p>
    <w:p>
      <w:pPr>
        <w:pStyle w:val="3"/>
        <w:rPr>
          <w:color w:val="auto"/>
        </w:rPr>
      </w:pPr>
    </w:p>
    <w:p>
      <w:pPr>
        <w:rPr>
          <w:color w:val="auto"/>
        </w:rPr>
      </w:pPr>
    </w:p>
    <w:p>
      <w:pPr>
        <w:pStyle w:val="2"/>
        <w:rPr>
          <w:color w:val="auto"/>
        </w:rPr>
      </w:pPr>
    </w:p>
    <w:p>
      <w:pPr>
        <w:pStyle w:val="3"/>
        <w:rPr>
          <w:color w:val="auto"/>
        </w:rPr>
      </w:pPr>
    </w:p>
    <w:p>
      <w:pPr>
        <w:rPr>
          <w:color w:val="auto"/>
        </w:rPr>
      </w:pPr>
      <w:r>
        <w:rPr>
          <w:color w:val="auto"/>
        </w:rPr>
        <w:drawing>
          <wp:inline distT="0" distB="0" distL="114300" distR="114300">
            <wp:extent cx="5277485" cy="6308725"/>
            <wp:effectExtent l="0" t="0" r="18415" b="158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3"/>
                    <a:stretch>
                      <a:fillRect/>
                    </a:stretch>
                  </pic:blipFill>
                  <pic:spPr>
                    <a:xfrm>
                      <a:off x="0" y="0"/>
                      <a:ext cx="5277485" cy="6308725"/>
                    </a:xfrm>
                    <a:prstGeom prst="rect">
                      <a:avLst/>
                    </a:prstGeom>
                    <a:noFill/>
                    <a:ln>
                      <a:noFill/>
                    </a:ln>
                  </pic:spPr>
                </pic:pic>
              </a:graphicData>
            </a:graphic>
          </wp:inline>
        </w:drawing>
      </w: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r>
        <w:rPr>
          <w:color w:val="auto"/>
        </w:rPr>
        <w:drawing>
          <wp:inline distT="0" distB="0" distL="114300" distR="114300">
            <wp:extent cx="5276850" cy="7076440"/>
            <wp:effectExtent l="0" t="0" r="0" b="1016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4"/>
                    <a:stretch>
                      <a:fillRect/>
                    </a:stretch>
                  </pic:blipFill>
                  <pic:spPr>
                    <a:xfrm>
                      <a:off x="0" y="0"/>
                      <a:ext cx="5276850" cy="7076440"/>
                    </a:xfrm>
                    <a:prstGeom prst="rect">
                      <a:avLst/>
                    </a:prstGeom>
                    <a:noFill/>
                    <a:ln>
                      <a:noFill/>
                    </a:ln>
                  </pic:spPr>
                </pic:pic>
              </a:graphicData>
            </a:graphic>
          </wp:inline>
        </w:drawing>
      </w: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r>
        <w:rPr>
          <w:color w:val="auto"/>
        </w:rPr>
        <w:drawing>
          <wp:inline distT="0" distB="0" distL="114300" distR="114300">
            <wp:extent cx="5200650" cy="7400925"/>
            <wp:effectExtent l="0" t="0" r="0" b="952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5"/>
                    <a:stretch>
                      <a:fillRect/>
                    </a:stretch>
                  </pic:blipFill>
                  <pic:spPr>
                    <a:xfrm>
                      <a:off x="0" y="0"/>
                      <a:ext cx="5200650" cy="7400925"/>
                    </a:xfrm>
                    <a:prstGeom prst="rect">
                      <a:avLst/>
                    </a:prstGeom>
                    <a:noFill/>
                    <a:ln>
                      <a:noFill/>
                    </a:ln>
                  </pic:spPr>
                </pic:pic>
              </a:graphicData>
            </a:graphic>
          </wp:inline>
        </w:drawing>
      </w:r>
    </w:p>
    <w:p>
      <w:pPr>
        <w:pStyle w:val="3"/>
        <w:rPr>
          <w:color w:val="auto"/>
        </w:rPr>
      </w:pPr>
    </w:p>
    <w:p>
      <w:pPr>
        <w:rPr>
          <w:color w:val="auto"/>
        </w:rPr>
      </w:pPr>
    </w:p>
    <w:p>
      <w:pPr>
        <w:pStyle w:val="4"/>
        <w:keepNext/>
        <w:keepLines/>
        <w:pageBreakBefore w:val="0"/>
        <w:widowControl/>
        <w:kinsoku/>
        <w:wordWrap/>
        <w:overflowPunct/>
        <w:topLinePunct w:val="0"/>
        <w:autoSpaceDE/>
        <w:autoSpaceDN/>
        <w:bidi w:val="0"/>
        <w:adjustRightInd w:val="0"/>
        <w:snapToGrid w:val="0"/>
        <w:spacing w:after="0" w:line="240" w:lineRule="auto"/>
        <w:textAlignment w:val="auto"/>
        <w:rPr>
          <w:rFonts w:hint="eastAsia"/>
          <w:color w:val="auto"/>
          <w:sz w:val="24"/>
          <w:szCs w:val="24"/>
          <w:lang w:val="en-US" w:eastAsia="zh-CN"/>
        </w:rPr>
      </w:pPr>
      <w:r>
        <w:rPr>
          <w:rFonts w:hint="eastAsia"/>
          <w:color w:val="auto"/>
          <w:sz w:val="24"/>
          <w:szCs w:val="24"/>
          <w:lang w:val="en-US" w:eastAsia="zh-CN"/>
        </w:rPr>
        <w:t>附件 5 危废处置协议</w:t>
      </w:r>
    </w:p>
    <w:p>
      <w:pPr>
        <w:rPr>
          <w:rFonts w:hint="eastAsia"/>
          <w:color w:val="auto"/>
          <w:lang w:val="en-US" w:eastAsia="zh-CN"/>
        </w:rPr>
      </w:pPr>
      <w:r>
        <w:rPr>
          <w:rFonts w:hint="default"/>
          <w:color w:val="auto"/>
          <w:lang w:val="en-US" w:eastAsia="zh-CN"/>
        </w:rPr>
        <w:drawing>
          <wp:inline distT="0" distB="0" distL="114300" distR="114300">
            <wp:extent cx="5210175" cy="7364095"/>
            <wp:effectExtent l="0" t="0" r="9525" b="8255"/>
            <wp:docPr id="52" name="图片 52" descr="22CON-12-06 JS211129PUR06 2022年红树林危废处理 北京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2CON-12-06 JS211129PUR06 2022年红树林危废处理 北京_页面_01"/>
                    <pic:cNvPicPr>
                      <a:picLocks noChangeAspect="1"/>
                    </pic:cNvPicPr>
                  </pic:nvPicPr>
                  <pic:blipFill>
                    <a:blip r:embed="rId46"/>
                    <a:stretch>
                      <a:fillRect/>
                    </a:stretch>
                  </pic:blipFill>
                  <pic:spPr>
                    <a:xfrm>
                      <a:off x="0" y="0"/>
                      <a:ext cx="5210175" cy="7364095"/>
                    </a:xfrm>
                    <a:prstGeom prst="rect">
                      <a:avLst/>
                    </a:prstGeom>
                  </pic:spPr>
                </pic:pic>
              </a:graphicData>
            </a:graphic>
          </wp:inline>
        </w:drawing>
      </w:r>
    </w:p>
    <w:p>
      <w:pPr>
        <w:pStyle w:val="3"/>
        <w:rPr>
          <w:color w:val="auto"/>
        </w:rPr>
      </w:pPr>
      <w:r>
        <w:rPr>
          <w:rFonts w:hint="default"/>
          <w:color w:val="auto"/>
          <w:lang w:val="en-US" w:eastAsia="zh-CN"/>
        </w:rPr>
        <w:drawing>
          <wp:inline distT="0" distB="0" distL="114300" distR="114300">
            <wp:extent cx="5278120" cy="7459345"/>
            <wp:effectExtent l="0" t="0" r="17780" b="8255"/>
            <wp:docPr id="51" name="图片 51" descr="22CON-12-06 JS211129PUR06 2022年红树林危废处理 北京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22CON-12-06 JS211129PUR06 2022年红树林危废处理 北京_页面_02"/>
                    <pic:cNvPicPr>
                      <a:picLocks noChangeAspect="1"/>
                    </pic:cNvPicPr>
                  </pic:nvPicPr>
                  <pic:blipFill>
                    <a:blip r:embed="rId47"/>
                    <a:stretch>
                      <a:fillRect/>
                    </a:stretch>
                  </pic:blipFill>
                  <pic:spPr>
                    <a:xfrm>
                      <a:off x="0" y="0"/>
                      <a:ext cx="5278120" cy="7459345"/>
                    </a:xfrm>
                    <a:prstGeom prst="rect">
                      <a:avLst/>
                    </a:prstGeom>
                  </pic:spPr>
                </pic:pic>
              </a:graphicData>
            </a:graphic>
          </wp:inline>
        </w:drawing>
      </w:r>
      <w:r>
        <w:rPr>
          <w:rFonts w:hint="default"/>
          <w:color w:val="auto"/>
          <w:lang w:val="en-US" w:eastAsia="zh-CN"/>
        </w:rPr>
        <w:drawing>
          <wp:inline distT="0" distB="0" distL="114300" distR="114300">
            <wp:extent cx="5278120" cy="7459345"/>
            <wp:effectExtent l="0" t="0" r="17780" b="8255"/>
            <wp:docPr id="50" name="图片 50" descr="22CON-12-06 JS211129PUR06 2022年红树林危废处理 北京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22CON-12-06 JS211129PUR06 2022年红树林危废处理 北京_页面_03"/>
                    <pic:cNvPicPr>
                      <a:picLocks noChangeAspect="1"/>
                    </pic:cNvPicPr>
                  </pic:nvPicPr>
                  <pic:blipFill>
                    <a:blip r:embed="rId48"/>
                    <a:stretch>
                      <a:fillRect/>
                    </a:stretch>
                  </pic:blipFill>
                  <pic:spPr>
                    <a:xfrm>
                      <a:off x="0" y="0"/>
                      <a:ext cx="5278120" cy="7459345"/>
                    </a:xfrm>
                    <a:prstGeom prst="rect">
                      <a:avLst/>
                    </a:prstGeom>
                  </pic:spPr>
                </pic:pic>
              </a:graphicData>
            </a:graphic>
          </wp:inline>
        </w:drawing>
      </w:r>
      <w:r>
        <w:rPr>
          <w:rFonts w:hint="default"/>
          <w:color w:val="auto"/>
          <w:lang w:val="en-US" w:eastAsia="zh-CN"/>
        </w:rPr>
        <w:drawing>
          <wp:inline distT="0" distB="0" distL="114300" distR="114300">
            <wp:extent cx="5278120" cy="7459345"/>
            <wp:effectExtent l="0" t="0" r="17780" b="8255"/>
            <wp:docPr id="53" name="图片 53" descr="22CON-12-06 JS211129PUR06 2022年红树林危废处理 北京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2CON-12-06 JS211129PUR06 2022年红树林危废处理 北京_页面_04"/>
                    <pic:cNvPicPr>
                      <a:picLocks noChangeAspect="1"/>
                    </pic:cNvPicPr>
                  </pic:nvPicPr>
                  <pic:blipFill>
                    <a:blip r:embed="rId49"/>
                    <a:stretch>
                      <a:fillRect/>
                    </a:stretch>
                  </pic:blipFill>
                  <pic:spPr>
                    <a:xfrm>
                      <a:off x="0" y="0"/>
                      <a:ext cx="5278120" cy="7459345"/>
                    </a:xfrm>
                    <a:prstGeom prst="rect">
                      <a:avLst/>
                    </a:prstGeom>
                  </pic:spPr>
                </pic:pic>
              </a:graphicData>
            </a:graphic>
          </wp:inline>
        </w:drawing>
      </w:r>
      <w:r>
        <w:rPr>
          <w:rFonts w:hint="default"/>
          <w:color w:val="auto"/>
          <w:lang w:val="en-US" w:eastAsia="zh-CN"/>
        </w:rPr>
        <w:drawing>
          <wp:inline distT="0" distB="0" distL="114300" distR="114300">
            <wp:extent cx="5278120" cy="7459345"/>
            <wp:effectExtent l="0" t="0" r="17780" b="8255"/>
            <wp:docPr id="54" name="图片 54" descr="22CON-12-06 JS211129PUR06 2022年红树林危废处理 北京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22CON-12-06 JS211129PUR06 2022年红树林危废处理 北京_页面_05"/>
                    <pic:cNvPicPr>
                      <a:picLocks noChangeAspect="1"/>
                    </pic:cNvPicPr>
                  </pic:nvPicPr>
                  <pic:blipFill>
                    <a:blip r:embed="rId50"/>
                    <a:stretch>
                      <a:fillRect/>
                    </a:stretch>
                  </pic:blipFill>
                  <pic:spPr>
                    <a:xfrm>
                      <a:off x="0" y="0"/>
                      <a:ext cx="5278120" cy="7459345"/>
                    </a:xfrm>
                    <a:prstGeom prst="rect">
                      <a:avLst/>
                    </a:prstGeom>
                  </pic:spPr>
                </pic:pic>
              </a:graphicData>
            </a:graphic>
          </wp:inline>
        </w:drawing>
      </w:r>
      <w:r>
        <w:rPr>
          <w:rFonts w:hint="default"/>
          <w:color w:val="auto"/>
          <w:lang w:val="en-US" w:eastAsia="zh-CN"/>
        </w:rPr>
        <w:drawing>
          <wp:inline distT="0" distB="0" distL="114300" distR="114300">
            <wp:extent cx="5278120" cy="7459345"/>
            <wp:effectExtent l="0" t="0" r="17780" b="8255"/>
            <wp:docPr id="55" name="图片 55" descr="22CON-12-06 JS211129PUR06 2022年红树林危废处理 北京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2CON-12-06 JS211129PUR06 2022年红树林危废处理 北京_页面_06"/>
                    <pic:cNvPicPr>
                      <a:picLocks noChangeAspect="1"/>
                    </pic:cNvPicPr>
                  </pic:nvPicPr>
                  <pic:blipFill>
                    <a:blip r:embed="rId51"/>
                    <a:stretch>
                      <a:fillRect/>
                    </a:stretch>
                  </pic:blipFill>
                  <pic:spPr>
                    <a:xfrm>
                      <a:off x="0" y="0"/>
                      <a:ext cx="5278120" cy="7459345"/>
                    </a:xfrm>
                    <a:prstGeom prst="rect">
                      <a:avLst/>
                    </a:prstGeom>
                  </pic:spPr>
                </pic:pic>
              </a:graphicData>
            </a:graphic>
          </wp:inline>
        </w:drawing>
      </w:r>
    </w:p>
    <w:sectPr>
      <w:pgSz w:w="11907" w:h="16840"/>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康简仿宋">
    <w:altName w:val="SimSun-ExtB"/>
    <w:panose1 w:val="00000000000000000000"/>
    <w:charset w:val="86"/>
    <w:family w:val="modern"/>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0"/>
      <w:ind w:right="360" w:firstLine="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2073512"/>
    </w:sdtPr>
    <w:sdtContent>
      <w:p>
        <w:pPr>
          <w:pStyle w:val="12"/>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p>
    <w:pPr>
      <w:pStyle w:val="12"/>
      <w:spacing w:after="0"/>
      <w:ind w:right="360" w:firstLine="360"/>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01217F"/>
    <w:multiLevelType w:val="multilevel"/>
    <w:tmpl w:val="400121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jNmYzM4NmUyMTA2NWM0MTE3MmExMDVhMGY5NDYifQ=="/>
  </w:docVars>
  <w:rsids>
    <w:rsidRoot w:val="004F574E"/>
    <w:rsid w:val="00026BCD"/>
    <w:rsid w:val="0006625F"/>
    <w:rsid w:val="000818DC"/>
    <w:rsid w:val="00081FF9"/>
    <w:rsid w:val="0009335A"/>
    <w:rsid w:val="000A1B94"/>
    <w:rsid w:val="000C15DB"/>
    <w:rsid w:val="000C23A8"/>
    <w:rsid w:val="000D4A2A"/>
    <w:rsid w:val="000E5F80"/>
    <w:rsid w:val="00106332"/>
    <w:rsid w:val="00112674"/>
    <w:rsid w:val="00123C3F"/>
    <w:rsid w:val="00132CE4"/>
    <w:rsid w:val="001453E8"/>
    <w:rsid w:val="00151834"/>
    <w:rsid w:val="00152C6F"/>
    <w:rsid w:val="00161630"/>
    <w:rsid w:val="001B24B2"/>
    <w:rsid w:val="001C2BFC"/>
    <w:rsid w:val="001D05FE"/>
    <w:rsid w:val="001D08CA"/>
    <w:rsid w:val="001D7F6D"/>
    <w:rsid w:val="001F0832"/>
    <w:rsid w:val="002042C3"/>
    <w:rsid w:val="002125BA"/>
    <w:rsid w:val="00213343"/>
    <w:rsid w:val="002145FA"/>
    <w:rsid w:val="00240D56"/>
    <w:rsid w:val="0024169A"/>
    <w:rsid w:val="00250F77"/>
    <w:rsid w:val="00271140"/>
    <w:rsid w:val="0027446E"/>
    <w:rsid w:val="00280B59"/>
    <w:rsid w:val="00290BA5"/>
    <w:rsid w:val="0029224E"/>
    <w:rsid w:val="002B0004"/>
    <w:rsid w:val="002D0B05"/>
    <w:rsid w:val="002E0B0F"/>
    <w:rsid w:val="002F1A40"/>
    <w:rsid w:val="002F4852"/>
    <w:rsid w:val="002F5F75"/>
    <w:rsid w:val="00320B31"/>
    <w:rsid w:val="00334209"/>
    <w:rsid w:val="00337E99"/>
    <w:rsid w:val="00343242"/>
    <w:rsid w:val="00387718"/>
    <w:rsid w:val="003C1D24"/>
    <w:rsid w:val="003C6A89"/>
    <w:rsid w:val="003D2C88"/>
    <w:rsid w:val="003D4ABE"/>
    <w:rsid w:val="003E00D2"/>
    <w:rsid w:val="003F2823"/>
    <w:rsid w:val="003F2895"/>
    <w:rsid w:val="00401FDF"/>
    <w:rsid w:val="004023AA"/>
    <w:rsid w:val="00404BCE"/>
    <w:rsid w:val="00410578"/>
    <w:rsid w:val="004160B9"/>
    <w:rsid w:val="00426931"/>
    <w:rsid w:val="00430D6C"/>
    <w:rsid w:val="004465EE"/>
    <w:rsid w:val="00463DDE"/>
    <w:rsid w:val="00474CA4"/>
    <w:rsid w:val="00480E96"/>
    <w:rsid w:val="0049077D"/>
    <w:rsid w:val="004A0854"/>
    <w:rsid w:val="004A6842"/>
    <w:rsid w:val="004C5A42"/>
    <w:rsid w:val="004D146C"/>
    <w:rsid w:val="004F574E"/>
    <w:rsid w:val="00523E40"/>
    <w:rsid w:val="00526C7E"/>
    <w:rsid w:val="00540495"/>
    <w:rsid w:val="00555B09"/>
    <w:rsid w:val="005602A9"/>
    <w:rsid w:val="00591DB9"/>
    <w:rsid w:val="005A393F"/>
    <w:rsid w:val="005A5F93"/>
    <w:rsid w:val="005B086E"/>
    <w:rsid w:val="005C2D24"/>
    <w:rsid w:val="005D4003"/>
    <w:rsid w:val="005D560D"/>
    <w:rsid w:val="005E436E"/>
    <w:rsid w:val="0060218A"/>
    <w:rsid w:val="00611A77"/>
    <w:rsid w:val="00630E58"/>
    <w:rsid w:val="00647C09"/>
    <w:rsid w:val="006612B7"/>
    <w:rsid w:val="00666C6C"/>
    <w:rsid w:val="006672C5"/>
    <w:rsid w:val="00672A3A"/>
    <w:rsid w:val="006B5120"/>
    <w:rsid w:val="006C71D5"/>
    <w:rsid w:val="006C7580"/>
    <w:rsid w:val="006D5478"/>
    <w:rsid w:val="006D6F0A"/>
    <w:rsid w:val="006E1A22"/>
    <w:rsid w:val="006F3DB4"/>
    <w:rsid w:val="00704637"/>
    <w:rsid w:val="007B1DC6"/>
    <w:rsid w:val="007B6355"/>
    <w:rsid w:val="007C191A"/>
    <w:rsid w:val="007C305E"/>
    <w:rsid w:val="007E3406"/>
    <w:rsid w:val="007E5B17"/>
    <w:rsid w:val="007E7AF8"/>
    <w:rsid w:val="00801CC2"/>
    <w:rsid w:val="00810D8E"/>
    <w:rsid w:val="0081123D"/>
    <w:rsid w:val="00825CEC"/>
    <w:rsid w:val="00837392"/>
    <w:rsid w:val="00845CC3"/>
    <w:rsid w:val="00861D48"/>
    <w:rsid w:val="008651EE"/>
    <w:rsid w:val="008676A0"/>
    <w:rsid w:val="008737B4"/>
    <w:rsid w:val="00884568"/>
    <w:rsid w:val="00891F7B"/>
    <w:rsid w:val="00892069"/>
    <w:rsid w:val="008A07AC"/>
    <w:rsid w:val="008A214D"/>
    <w:rsid w:val="008A7D13"/>
    <w:rsid w:val="008C28AB"/>
    <w:rsid w:val="008E771B"/>
    <w:rsid w:val="008F2360"/>
    <w:rsid w:val="0090627E"/>
    <w:rsid w:val="0090688B"/>
    <w:rsid w:val="00913B16"/>
    <w:rsid w:val="00917F23"/>
    <w:rsid w:val="00926464"/>
    <w:rsid w:val="00930B01"/>
    <w:rsid w:val="00930E30"/>
    <w:rsid w:val="00937766"/>
    <w:rsid w:val="00961238"/>
    <w:rsid w:val="00965512"/>
    <w:rsid w:val="0097037D"/>
    <w:rsid w:val="009964FA"/>
    <w:rsid w:val="009A3A2B"/>
    <w:rsid w:val="009B1599"/>
    <w:rsid w:val="009B5BFC"/>
    <w:rsid w:val="009C6E34"/>
    <w:rsid w:val="009D4513"/>
    <w:rsid w:val="009E45F7"/>
    <w:rsid w:val="009F015D"/>
    <w:rsid w:val="00A34200"/>
    <w:rsid w:val="00A455AB"/>
    <w:rsid w:val="00A54F57"/>
    <w:rsid w:val="00A55648"/>
    <w:rsid w:val="00A76CB9"/>
    <w:rsid w:val="00A95A37"/>
    <w:rsid w:val="00AB6BBE"/>
    <w:rsid w:val="00AC352D"/>
    <w:rsid w:val="00AC62F5"/>
    <w:rsid w:val="00AD0A37"/>
    <w:rsid w:val="00AE0081"/>
    <w:rsid w:val="00AE3534"/>
    <w:rsid w:val="00AE4F97"/>
    <w:rsid w:val="00B0612A"/>
    <w:rsid w:val="00B275A5"/>
    <w:rsid w:val="00B42065"/>
    <w:rsid w:val="00B463CC"/>
    <w:rsid w:val="00B6006C"/>
    <w:rsid w:val="00B6024F"/>
    <w:rsid w:val="00B97A87"/>
    <w:rsid w:val="00BB185F"/>
    <w:rsid w:val="00BB70C5"/>
    <w:rsid w:val="00BE021A"/>
    <w:rsid w:val="00BF32D7"/>
    <w:rsid w:val="00BF705C"/>
    <w:rsid w:val="00C06BDD"/>
    <w:rsid w:val="00C1037C"/>
    <w:rsid w:val="00C20398"/>
    <w:rsid w:val="00C220E0"/>
    <w:rsid w:val="00C25A14"/>
    <w:rsid w:val="00C40AEB"/>
    <w:rsid w:val="00C45994"/>
    <w:rsid w:val="00C47EF9"/>
    <w:rsid w:val="00C60805"/>
    <w:rsid w:val="00C64FFF"/>
    <w:rsid w:val="00C6576A"/>
    <w:rsid w:val="00C975A6"/>
    <w:rsid w:val="00CB1D70"/>
    <w:rsid w:val="00CB453B"/>
    <w:rsid w:val="00CB72AF"/>
    <w:rsid w:val="00CE19CD"/>
    <w:rsid w:val="00CF2A99"/>
    <w:rsid w:val="00D0240C"/>
    <w:rsid w:val="00D241F6"/>
    <w:rsid w:val="00D40416"/>
    <w:rsid w:val="00D432E1"/>
    <w:rsid w:val="00D4599E"/>
    <w:rsid w:val="00D53831"/>
    <w:rsid w:val="00D63C44"/>
    <w:rsid w:val="00D76FED"/>
    <w:rsid w:val="00D82064"/>
    <w:rsid w:val="00D91FE9"/>
    <w:rsid w:val="00D92DCD"/>
    <w:rsid w:val="00D95B04"/>
    <w:rsid w:val="00DA47B1"/>
    <w:rsid w:val="00DB042E"/>
    <w:rsid w:val="00DD5A66"/>
    <w:rsid w:val="00DE414B"/>
    <w:rsid w:val="00E05D98"/>
    <w:rsid w:val="00E50C9F"/>
    <w:rsid w:val="00E558CC"/>
    <w:rsid w:val="00E807AA"/>
    <w:rsid w:val="00E82797"/>
    <w:rsid w:val="00E84CFB"/>
    <w:rsid w:val="00EB0F88"/>
    <w:rsid w:val="00EB22B6"/>
    <w:rsid w:val="00EC6900"/>
    <w:rsid w:val="00EE47BD"/>
    <w:rsid w:val="00EE64C3"/>
    <w:rsid w:val="00EF3EF3"/>
    <w:rsid w:val="00F064BF"/>
    <w:rsid w:val="00F173E8"/>
    <w:rsid w:val="00F2165C"/>
    <w:rsid w:val="00F2219D"/>
    <w:rsid w:val="00F30F36"/>
    <w:rsid w:val="00F37D97"/>
    <w:rsid w:val="00F4012D"/>
    <w:rsid w:val="00F67141"/>
    <w:rsid w:val="00F7083D"/>
    <w:rsid w:val="00F71AE4"/>
    <w:rsid w:val="00F8117F"/>
    <w:rsid w:val="00F877D5"/>
    <w:rsid w:val="00FB0F43"/>
    <w:rsid w:val="00FB3D74"/>
    <w:rsid w:val="00FD2E69"/>
    <w:rsid w:val="019E6E7B"/>
    <w:rsid w:val="02B87C8B"/>
    <w:rsid w:val="02EE54D1"/>
    <w:rsid w:val="02F24001"/>
    <w:rsid w:val="032D07C6"/>
    <w:rsid w:val="041F224F"/>
    <w:rsid w:val="044216A6"/>
    <w:rsid w:val="044A0E85"/>
    <w:rsid w:val="045A6D8E"/>
    <w:rsid w:val="05371F18"/>
    <w:rsid w:val="05923C1A"/>
    <w:rsid w:val="07CC1241"/>
    <w:rsid w:val="07D32D8B"/>
    <w:rsid w:val="09386689"/>
    <w:rsid w:val="09A27A1F"/>
    <w:rsid w:val="09EA4986"/>
    <w:rsid w:val="0A20724B"/>
    <w:rsid w:val="0A63006A"/>
    <w:rsid w:val="0ABB10DF"/>
    <w:rsid w:val="0B062A6E"/>
    <w:rsid w:val="0B233D1B"/>
    <w:rsid w:val="0BA01C61"/>
    <w:rsid w:val="0BA60F3C"/>
    <w:rsid w:val="0BE82AE6"/>
    <w:rsid w:val="0C173C3E"/>
    <w:rsid w:val="0C54232E"/>
    <w:rsid w:val="0C665DF3"/>
    <w:rsid w:val="0C822096"/>
    <w:rsid w:val="0E5C4D68"/>
    <w:rsid w:val="0EB04152"/>
    <w:rsid w:val="0EFE2E3D"/>
    <w:rsid w:val="0FD6C4B8"/>
    <w:rsid w:val="103077F8"/>
    <w:rsid w:val="10307D0D"/>
    <w:rsid w:val="10632265"/>
    <w:rsid w:val="1093707C"/>
    <w:rsid w:val="11B260D9"/>
    <w:rsid w:val="11E0376C"/>
    <w:rsid w:val="11EA5943"/>
    <w:rsid w:val="12733DF0"/>
    <w:rsid w:val="131F1259"/>
    <w:rsid w:val="13277470"/>
    <w:rsid w:val="14145494"/>
    <w:rsid w:val="141E3E72"/>
    <w:rsid w:val="14601412"/>
    <w:rsid w:val="14D0217B"/>
    <w:rsid w:val="155A32D4"/>
    <w:rsid w:val="166C5A5D"/>
    <w:rsid w:val="16921733"/>
    <w:rsid w:val="16EC7862"/>
    <w:rsid w:val="177E0C40"/>
    <w:rsid w:val="182F2A8B"/>
    <w:rsid w:val="18316A7B"/>
    <w:rsid w:val="19BD7F27"/>
    <w:rsid w:val="19DB3632"/>
    <w:rsid w:val="19E4252A"/>
    <w:rsid w:val="1A1C5177"/>
    <w:rsid w:val="1A5141A6"/>
    <w:rsid w:val="1CE35F1E"/>
    <w:rsid w:val="1CEB6D77"/>
    <w:rsid w:val="1CF10B0B"/>
    <w:rsid w:val="1D6724B3"/>
    <w:rsid w:val="1D8B60E7"/>
    <w:rsid w:val="1DB9739C"/>
    <w:rsid w:val="1E394F0D"/>
    <w:rsid w:val="1E9E7B9A"/>
    <w:rsid w:val="1EA515A2"/>
    <w:rsid w:val="1EFB4464"/>
    <w:rsid w:val="1F09574C"/>
    <w:rsid w:val="1F5C2253"/>
    <w:rsid w:val="20864254"/>
    <w:rsid w:val="20C334F7"/>
    <w:rsid w:val="2160112F"/>
    <w:rsid w:val="21A47434"/>
    <w:rsid w:val="21C003A3"/>
    <w:rsid w:val="21E82744"/>
    <w:rsid w:val="22544146"/>
    <w:rsid w:val="22DD1059"/>
    <w:rsid w:val="2331217E"/>
    <w:rsid w:val="240778D4"/>
    <w:rsid w:val="2438625A"/>
    <w:rsid w:val="2700614B"/>
    <w:rsid w:val="27BD4955"/>
    <w:rsid w:val="27F605E7"/>
    <w:rsid w:val="28C42A86"/>
    <w:rsid w:val="28F36197"/>
    <w:rsid w:val="29553233"/>
    <w:rsid w:val="29627D5A"/>
    <w:rsid w:val="2969022C"/>
    <w:rsid w:val="297F4107"/>
    <w:rsid w:val="29B275B4"/>
    <w:rsid w:val="2A021950"/>
    <w:rsid w:val="2A6928F2"/>
    <w:rsid w:val="2B4258C6"/>
    <w:rsid w:val="2B4F4FB7"/>
    <w:rsid w:val="2B60690D"/>
    <w:rsid w:val="2BA47013"/>
    <w:rsid w:val="2BF85999"/>
    <w:rsid w:val="2C6D25DB"/>
    <w:rsid w:val="2D68204B"/>
    <w:rsid w:val="2DAB40E3"/>
    <w:rsid w:val="2DF678C1"/>
    <w:rsid w:val="2E2C05AC"/>
    <w:rsid w:val="2E835BDE"/>
    <w:rsid w:val="305E4F81"/>
    <w:rsid w:val="307955C5"/>
    <w:rsid w:val="307F4548"/>
    <w:rsid w:val="3113779B"/>
    <w:rsid w:val="31751AF2"/>
    <w:rsid w:val="31F75D30"/>
    <w:rsid w:val="32453DC3"/>
    <w:rsid w:val="33722B62"/>
    <w:rsid w:val="339200C7"/>
    <w:rsid w:val="33CE72EC"/>
    <w:rsid w:val="33DF2E3F"/>
    <w:rsid w:val="343E75CB"/>
    <w:rsid w:val="34402D44"/>
    <w:rsid w:val="349A344D"/>
    <w:rsid w:val="34F14C22"/>
    <w:rsid w:val="351B6169"/>
    <w:rsid w:val="35241ADF"/>
    <w:rsid w:val="352862BB"/>
    <w:rsid w:val="35497E19"/>
    <w:rsid w:val="36835AD0"/>
    <w:rsid w:val="36A20BFF"/>
    <w:rsid w:val="36BB0A12"/>
    <w:rsid w:val="36E8798D"/>
    <w:rsid w:val="36FDFD3B"/>
    <w:rsid w:val="374B112D"/>
    <w:rsid w:val="376772AE"/>
    <w:rsid w:val="3791174B"/>
    <w:rsid w:val="38477DE5"/>
    <w:rsid w:val="384C48FF"/>
    <w:rsid w:val="388458B5"/>
    <w:rsid w:val="3A033FD3"/>
    <w:rsid w:val="3AF1523C"/>
    <w:rsid w:val="3B5B71BC"/>
    <w:rsid w:val="3BF1F929"/>
    <w:rsid w:val="3C251FAA"/>
    <w:rsid w:val="3C654880"/>
    <w:rsid w:val="3C9D6255"/>
    <w:rsid w:val="3CBA0F5C"/>
    <w:rsid w:val="3D1FF708"/>
    <w:rsid w:val="3D6A5457"/>
    <w:rsid w:val="3D94334F"/>
    <w:rsid w:val="3DBBA5F3"/>
    <w:rsid w:val="3DF467DB"/>
    <w:rsid w:val="3E0E38CB"/>
    <w:rsid w:val="3E7BCE36"/>
    <w:rsid w:val="3EC966D7"/>
    <w:rsid w:val="3EDB5C52"/>
    <w:rsid w:val="3EF70C72"/>
    <w:rsid w:val="3F6108AA"/>
    <w:rsid w:val="3FB728B1"/>
    <w:rsid w:val="3FCE5B05"/>
    <w:rsid w:val="4038045F"/>
    <w:rsid w:val="4072486D"/>
    <w:rsid w:val="41861EC1"/>
    <w:rsid w:val="42FD6C48"/>
    <w:rsid w:val="430F32A3"/>
    <w:rsid w:val="43511E94"/>
    <w:rsid w:val="43906E84"/>
    <w:rsid w:val="439469F2"/>
    <w:rsid w:val="43CA3F27"/>
    <w:rsid w:val="43E16AE2"/>
    <w:rsid w:val="45D828A3"/>
    <w:rsid w:val="45F01DF5"/>
    <w:rsid w:val="45F6153F"/>
    <w:rsid w:val="46E10A02"/>
    <w:rsid w:val="473A5DA5"/>
    <w:rsid w:val="47E3223A"/>
    <w:rsid w:val="484E47B5"/>
    <w:rsid w:val="485349D0"/>
    <w:rsid w:val="48EB10F8"/>
    <w:rsid w:val="4948637E"/>
    <w:rsid w:val="495F2FE8"/>
    <w:rsid w:val="4A8E29E3"/>
    <w:rsid w:val="4ACD57CD"/>
    <w:rsid w:val="4AF22FD6"/>
    <w:rsid w:val="4B98292E"/>
    <w:rsid w:val="4D2D2106"/>
    <w:rsid w:val="4D777C14"/>
    <w:rsid w:val="4E1E0891"/>
    <w:rsid w:val="4E6E03D8"/>
    <w:rsid w:val="4E833CFE"/>
    <w:rsid w:val="4EBB2993"/>
    <w:rsid w:val="4EE40FED"/>
    <w:rsid w:val="4F9055B9"/>
    <w:rsid w:val="4FDF0E1C"/>
    <w:rsid w:val="5021510A"/>
    <w:rsid w:val="50B44BCD"/>
    <w:rsid w:val="50F11E31"/>
    <w:rsid w:val="518413A9"/>
    <w:rsid w:val="519F42C1"/>
    <w:rsid w:val="51F53849"/>
    <w:rsid w:val="520E1AB4"/>
    <w:rsid w:val="524C0175"/>
    <w:rsid w:val="530E7AB4"/>
    <w:rsid w:val="53921535"/>
    <w:rsid w:val="53F77FDF"/>
    <w:rsid w:val="54624A48"/>
    <w:rsid w:val="54B47E76"/>
    <w:rsid w:val="54ED1EB9"/>
    <w:rsid w:val="56695779"/>
    <w:rsid w:val="569C231E"/>
    <w:rsid w:val="57744AB9"/>
    <w:rsid w:val="5779700E"/>
    <w:rsid w:val="57B14AA4"/>
    <w:rsid w:val="58985A47"/>
    <w:rsid w:val="594F1B31"/>
    <w:rsid w:val="597028F4"/>
    <w:rsid w:val="59E91970"/>
    <w:rsid w:val="5A726A80"/>
    <w:rsid w:val="5AE553EF"/>
    <w:rsid w:val="5B5905E3"/>
    <w:rsid w:val="5C0D3BF8"/>
    <w:rsid w:val="5C0E41D8"/>
    <w:rsid w:val="5C5E3E5A"/>
    <w:rsid w:val="5C8B2D25"/>
    <w:rsid w:val="5D0D5B49"/>
    <w:rsid w:val="5D382A0E"/>
    <w:rsid w:val="5E2836C0"/>
    <w:rsid w:val="5E3B2B8A"/>
    <w:rsid w:val="5E54340E"/>
    <w:rsid w:val="5EB75143"/>
    <w:rsid w:val="5EC15F62"/>
    <w:rsid w:val="5FD41843"/>
    <w:rsid w:val="5FD44B4E"/>
    <w:rsid w:val="5FD658BD"/>
    <w:rsid w:val="603179E8"/>
    <w:rsid w:val="60504F84"/>
    <w:rsid w:val="60B91575"/>
    <w:rsid w:val="60D23A79"/>
    <w:rsid w:val="6100286C"/>
    <w:rsid w:val="610B29D9"/>
    <w:rsid w:val="613B4576"/>
    <w:rsid w:val="613E7862"/>
    <w:rsid w:val="61800B88"/>
    <w:rsid w:val="62050B23"/>
    <w:rsid w:val="64316885"/>
    <w:rsid w:val="64487EB5"/>
    <w:rsid w:val="65300370"/>
    <w:rsid w:val="65754214"/>
    <w:rsid w:val="65D11153"/>
    <w:rsid w:val="67400D87"/>
    <w:rsid w:val="67431D1D"/>
    <w:rsid w:val="679C1BA4"/>
    <w:rsid w:val="67AA5832"/>
    <w:rsid w:val="67B617CB"/>
    <w:rsid w:val="68076700"/>
    <w:rsid w:val="6829143A"/>
    <w:rsid w:val="6855567A"/>
    <w:rsid w:val="68CD02A7"/>
    <w:rsid w:val="69DA5E3E"/>
    <w:rsid w:val="69EB86CA"/>
    <w:rsid w:val="69FA6052"/>
    <w:rsid w:val="6B314C65"/>
    <w:rsid w:val="6BA574BC"/>
    <w:rsid w:val="6BA83B48"/>
    <w:rsid w:val="6BE3002D"/>
    <w:rsid w:val="6BFF9A31"/>
    <w:rsid w:val="6C6C6434"/>
    <w:rsid w:val="6CCFED12"/>
    <w:rsid w:val="6D0F0448"/>
    <w:rsid w:val="6E0E72C4"/>
    <w:rsid w:val="6E6B44C5"/>
    <w:rsid w:val="6ECD1186"/>
    <w:rsid w:val="6F6B5F85"/>
    <w:rsid w:val="6F6D24C1"/>
    <w:rsid w:val="705852DE"/>
    <w:rsid w:val="70C51A87"/>
    <w:rsid w:val="710339B9"/>
    <w:rsid w:val="71587923"/>
    <w:rsid w:val="71B307F6"/>
    <w:rsid w:val="71E74E4C"/>
    <w:rsid w:val="726A5405"/>
    <w:rsid w:val="728F0BF4"/>
    <w:rsid w:val="72C23217"/>
    <w:rsid w:val="7320255D"/>
    <w:rsid w:val="73636425"/>
    <w:rsid w:val="73AA0D10"/>
    <w:rsid w:val="73D117C8"/>
    <w:rsid w:val="73D20547"/>
    <w:rsid w:val="73E14093"/>
    <w:rsid w:val="74270DD0"/>
    <w:rsid w:val="74497D66"/>
    <w:rsid w:val="748E3BEB"/>
    <w:rsid w:val="75CA7532"/>
    <w:rsid w:val="76147333"/>
    <w:rsid w:val="762E37D9"/>
    <w:rsid w:val="76787635"/>
    <w:rsid w:val="76B71A0C"/>
    <w:rsid w:val="77227279"/>
    <w:rsid w:val="77B764C2"/>
    <w:rsid w:val="77D568F3"/>
    <w:rsid w:val="788D2B44"/>
    <w:rsid w:val="78DF7F7B"/>
    <w:rsid w:val="799F18AC"/>
    <w:rsid w:val="79A1325E"/>
    <w:rsid w:val="79A5344A"/>
    <w:rsid w:val="79E9561C"/>
    <w:rsid w:val="79EB639A"/>
    <w:rsid w:val="7A175DFC"/>
    <w:rsid w:val="7AF41DA8"/>
    <w:rsid w:val="7B477337"/>
    <w:rsid w:val="7B7B7908"/>
    <w:rsid w:val="7D5815CB"/>
    <w:rsid w:val="7D5E22EF"/>
    <w:rsid w:val="7E2D7F09"/>
    <w:rsid w:val="7EDE4069"/>
    <w:rsid w:val="7F3A1B1E"/>
    <w:rsid w:val="7F81662D"/>
    <w:rsid w:val="7FFBF6BB"/>
    <w:rsid w:val="9BFB1C95"/>
    <w:rsid w:val="9DFF22FF"/>
    <w:rsid w:val="9EBF3D9B"/>
    <w:rsid w:val="9ECFD172"/>
    <w:rsid w:val="9FDFB7C0"/>
    <w:rsid w:val="B6FFD39F"/>
    <w:rsid w:val="BDEEFBD2"/>
    <w:rsid w:val="BFE71C3B"/>
    <w:rsid w:val="C75347EF"/>
    <w:rsid w:val="C75E69EB"/>
    <w:rsid w:val="D737D415"/>
    <w:rsid w:val="E3FFAAA3"/>
    <w:rsid w:val="E7978467"/>
    <w:rsid w:val="EBFE3139"/>
    <w:rsid w:val="EE374166"/>
    <w:rsid w:val="EE7FCC29"/>
    <w:rsid w:val="EF5EA7C5"/>
    <w:rsid w:val="EF76AEE2"/>
    <w:rsid w:val="EFFB3CE0"/>
    <w:rsid w:val="F17D2293"/>
    <w:rsid w:val="FDDFD7EB"/>
    <w:rsid w:val="FED77E6F"/>
    <w:rsid w:val="FFE50184"/>
    <w:rsid w:val="FFF6C984"/>
    <w:rsid w:val="FFFF8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link w:val="31"/>
    <w:unhideWhenUsed/>
    <w:qFormat/>
    <w:uiPriority w:val="9"/>
    <w:pPr>
      <w:keepNext/>
      <w:keepLines/>
      <w:spacing w:before="50" w:beforeLines="50"/>
      <w:outlineLvl w:val="1"/>
    </w:pPr>
    <w:rPr>
      <w:rFonts w:eastAsiaTheme="majorEastAsia" w:cstheme="majorBidi"/>
      <w:b/>
      <w:bCs/>
      <w:sz w:val="28"/>
      <w:szCs w:val="32"/>
    </w:rPr>
  </w:style>
  <w:style w:type="paragraph" w:styleId="6">
    <w:name w:val="heading 3"/>
    <w:basedOn w:val="1"/>
    <w:next w:val="1"/>
    <w:unhideWhenUsed/>
    <w:qFormat/>
    <w:uiPriority w:val="9"/>
    <w:pPr>
      <w:keepNext/>
      <w:keepLines/>
      <w:spacing w:before="50" w:beforeLines="50"/>
      <w:outlineLvl w:val="2"/>
    </w:pPr>
    <w:rPr>
      <w:rFonts w:eastAsia="Times New Roman"/>
      <w:bCs/>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240" w:line="360" w:lineRule="auto"/>
    </w:pPr>
    <w:rPr>
      <w:rFonts w:ascii="楷体_GB2312" w:eastAsia="楷体_GB2312"/>
      <w:b/>
      <w:bCs/>
      <w:sz w:val="28"/>
    </w:rPr>
  </w:style>
  <w:style w:type="paragraph" w:customStyle="1" w:styleId="3">
    <w:name w:val="目录 11"/>
    <w:next w:val="1"/>
    <w:qFormat/>
    <w:uiPriority w:val="0"/>
    <w:pPr>
      <w:wordWrap w:val="0"/>
      <w:spacing w:after="200" w:line="276" w:lineRule="auto"/>
      <w:jc w:val="both"/>
    </w:pPr>
    <w:rPr>
      <w:rFonts w:ascii="Times New Roman" w:hAnsi="Times New Roman" w:eastAsia="宋体" w:cs="Times New Roman"/>
      <w:sz w:val="21"/>
      <w:szCs w:val="22"/>
      <w:lang w:val="en-US" w:eastAsia="zh-CN" w:bidi="ar-SA"/>
    </w:rPr>
  </w:style>
  <w:style w:type="paragraph" w:styleId="7">
    <w:name w:val="Normal Indent"/>
    <w:basedOn w:val="1"/>
    <w:link w:val="39"/>
    <w:qFormat/>
    <w:uiPriority w:val="0"/>
    <w:pPr>
      <w:ind w:firstLine="420"/>
    </w:pPr>
    <w:rPr>
      <w:kern w:val="2"/>
      <w:szCs w:val="20"/>
    </w:rPr>
  </w:style>
  <w:style w:type="paragraph" w:styleId="8">
    <w:name w:val="annotation text"/>
    <w:basedOn w:val="1"/>
    <w:link w:val="42"/>
    <w:unhideWhenUsed/>
    <w:qFormat/>
    <w:uiPriority w:val="99"/>
  </w:style>
  <w:style w:type="paragraph" w:styleId="9">
    <w:name w:val="Body Text Indent"/>
    <w:basedOn w:val="1"/>
    <w:qFormat/>
    <w:uiPriority w:val="0"/>
    <w:pPr>
      <w:ind w:firstLine="560" w:firstLineChars="200"/>
    </w:pPr>
    <w:rPr>
      <w:sz w:val="28"/>
    </w:rPr>
  </w:style>
  <w:style w:type="paragraph" w:styleId="10">
    <w:name w:val="Plain Text"/>
    <w:basedOn w:val="1"/>
    <w:qFormat/>
    <w:uiPriority w:val="0"/>
    <w:pPr>
      <w:spacing w:before="120" w:line="400" w:lineRule="exact"/>
      <w:jc w:val="both"/>
    </w:pPr>
    <w:rPr>
      <w:rFonts w:ascii="宋体" w:hAnsi="Courier New"/>
      <w:spacing w:val="-2"/>
      <w:kern w:val="28"/>
      <w:sz w:val="21"/>
      <w:szCs w:val="20"/>
    </w:rPr>
  </w:style>
  <w:style w:type="paragraph" w:styleId="11">
    <w:name w:val="Balloon Text"/>
    <w:basedOn w:val="1"/>
    <w:link w:val="34"/>
    <w:qFormat/>
    <w:uiPriority w:val="0"/>
    <w:pPr>
      <w:spacing w:after="0"/>
    </w:pPr>
    <w:rPr>
      <w:sz w:val="18"/>
      <w:szCs w:val="18"/>
    </w:rPr>
  </w:style>
  <w:style w:type="paragraph" w:styleId="12">
    <w:name w:val="footer"/>
    <w:basedOn w:val="1"/>
    <w:link w:val="36"/>
    <w:qFormat/>
    <w:uiPriority w:val="99"/>
    <w:pPr>
      <w:tabs>
        <w:tab w:val="center" w:pos="4153"/>
        <w:tab w:val="right" w:pos="8306"/>
      </w:tabs>
    </w:pPr>
    <w:rPr>
      <w:sz w:val="18"/>
      <w:szCs w:val="18"/>
    </w:rPr>
  </w:style>
  <w:style w:type="paragraph" w:styleId="13">
    <w:name w:val="header"/>
    <w:basedOn w:val="1"/>
    <w:link w:val="35"/>
    <w:qFormat/>
    <w:uiPriority w:val="0"/>
    <w:pPr>
      <w:pBdr>
        <w:bottom w:val="single" w:color="auto" w:sz="6" w:space="1"/>
      </w:pBdr>
      <w:tabs>
        <w:tab w:val="center" w:pos="4153"/>
        <w:tab w:val="right" w:pos="8306"/>
      </w:tabs>
      <w:jc w:val="center"/>
    </w:pPr>
    <w:rPr>
      <w:sz w:val="18"/>
      <w:szCs w:val="18"/>
    </w:rPr>
  </w:style>
  <w:style w:type="paragraph" w:styleId="14">
    <w:name w:val="List"/>
    <w:basedOn w:val="1"/>
    <w:qFormat/>
    <w:uiPriority w:val="0"/>
    <w:pPr>
      <w:ind w:left="200" w:hanging="200" w:hangingChars="200"/>
    </w:pPr>
  </w:style>
  <w:style w:type="paragraph" w:styleId="15">
    <w:name w:val="Body Text Indent 3"/>
    <w:basedOn w:val="1"/>
    <w:qFormat/>
    <w:uiPriority w:val="0"/>
    <w:pPr>
      <w:ind w:firstLine="555"/>
    </w:pPr>
  </w:style>
  <w:style w:type="paragraph" w:styleId="16">
    <w:name w:val="annotation subject"/>
    <w:basedOn w:val="8"/>
    <w:next w:val="8"/>
    <w:link w:val="43"/>
    <w:qFormat/>
    <w:uiPriority w:val="0"/>
    <w:rPr>
      <w:b/>
      <w:bCs/>
    </w:rPr>
  </w:style>
  <w:style w:type="paragraph" w:styleId="17">
    <w:name w:val="Body Text First Indent"/>
    <w:basedOn w:val="2"/>
    <w:qFormat/>
    <w:uiPriority w:val="0"/>
    <w:pPr>
      <w:spacing w:before="0" w:after="120" w:line="240" w:lineRule="auto"/>
      <w:ind w:firstLine="420" w:firstLineChars="100"/>
    </w:pPr>
    <w:rPr>
      <w:b w:val="0"/>
      <w:bCs w:val="0"/>
      <w:sz w:val="24"/>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semiHidden/>
    <w:unhideWhenUsed/>
    <w:qFormat/>
    <w:uiPriority w:val="99"/>
    <w:rPr>
      <w:color w:val="0000FF"/>
      <w:u w:val="single"/>
    </w:rPr>
  </w:style>
  <w:style w:type="character" w:styleId="23">
    <w:name w:val="annotation reference"/>
    <w:basedOn w:val="20"/>
    <w:unhideWhenUsed/>
    <w:qFormat/>
    <w:uiPriority w:val="99"/>
    <w:rPr>
      <w:sz w:val="21"/>
      <w:szCs w:val="21"/>
    </w:rPr>
  </w:style>
  <w:style w:type="paragraph" w:customStyle="1" w:styleId="24">
    <w:name w:val="样式 样式 样式 四号 左侧:  1.53 厘米 + 首行缩进:  2 字符 + 居中 左侧:  2 字符 首行缩进:  2..."/>
    <w:basedOn w:val="25"/>
    <w:qFormat/>
    <w:uiPriority w:val="0"/>
    <w:pPr>
      <w:spacing w:line="500" w:lineRule="exact"/>
      <w:jc w:val="center"/>
    </w:pPr>
    <w:rPr>
      <w:rFonts w:ascii="Times New Roman" w:hAnsi="Times New Roman"/>
    </w:rPr>
  </w:style>
  <w:style w:type="paragraph" w:customStyle="1" w:styleId="25">
    <w:name w:val="样式 样式 四号 左侧:  1.53 厘米 + 首行缩进:  2 字符"/>
    <w:basedOn w:val="26"/>
    <w:qFormat/>
    <w:uiPriority w:val="0"/>
    <w:pPr>
      <w:ind w:left="200" w:leftChars="200"/>
    </w:pPr>
    <w:rPr>
      <w:szCs w:val="20"/>
    </w:rPr>
  </w:style>
  <w:style w:type="paragraph" w:customStyle="1" w:styleId="26">
    <w:name w:val="样式 四号 左侧:  1.53 厘米"/>
    <w:basedOn w:val="1"/>
    <w:qFormat/>
    <w:uiPriority w:val="0"/>
    <w:rPr>
      <w:rFonts w:ascii="华康简仿宋" w:hAnsi="华康简仿宋" w:eastAsia="华文中宋" w:cs="华康简仿宋"/>
      <w:w w:val="90"/>
      <w:sz w:val="28"/>
      <w:szCs w:val="28"/>
    </w:rPr>
  </w:style>
  <w:style w:type="paragraph" w:customStyle="1" w:styleId="27">
    <w:name w:val="列出段落1"/>
    <w:basedOn w:val="1"/>
    <w:qFormat/>
    <w:uiPriority w:val="0"/>
    <w:pPr>
      <w:widowControl w:val="0"/>
      <w:adjustRightInd/>
      <w:snapToGrid/>
      <w:spacing w:after="0"/>
      <w:ind w:firstLine="420" w:firstLineChars="200"/>
      <w:jc w:val="both"/>
    </w:pPr>
    <w:rPr>
      <w:rFonts w:ascii="Times New Roman" w:hAnsi="Times New Roman" w:eastAsia="宋体"/>
      <w:kern w:val="2"/>
      <w:sz w:val="21"/>
      <w:szCs w:val="20"/>
    </w:rPr>
  </w:style>
  <w:style w:type="paragraph" w:customStyle="1" w:styleId="28">
    <w:name w:val="列出段落2"/>
    <w:basedOn w:val="1"/>
    <w:qFormat/>
    <w:uiPriority w:val="34"/>
    <w:pPr>
      <w:ind w:firstLine="420"/>
    </w:pPr>
  </w:style>
  <w:style w:type="paragraph" w:customStyle="1" w:styleId="29">
    <w:name w:val="表"/>
    <w:basedOn w:val="14"/>
    <w:next w:val="1"/>
    <w:qFormat/>
    <w:uiPriority w:val="0"/>
    <w:pPr>
      <w:ind w:left="0" w:firstLine="0" w:firstLineChars="0"/>
      <w:jc w:val="center"/>
    </w:pPr>
    <w:rPr>
      <w:rFonts w:cs="Arial Unicode MS"/>
      <w:sz w:val="21"/>
      <w:szCs w:val="21"/>
    </w:rPr>
  </w:style>
  <w:style w:type="paragraph" w:customStyle="1" w:styleId="30">
    <w:name w:val="表格"/>
    <w:basedOn w:val="1"/>
    <w:next w:val="17"/>
    <w:qFormat/>
    <w:uiPriority w:val="0"/>
    <w:pPr>
      <w:widowControl w:val="0"/>
      <w:spacing w:line="340" w:lineRule="exact"/>
      <w:jc w:val="center"/>
    </w:pPr>
    <w:rPr>
      <w:rFonts w:ascii="仿宋_GB2312" w:hAnsi="Times New Roman" w:eastAsia="仿宋_GB2312"/>
      <w:color w:val="000000"/>
      <w:kern w:val="2"/>
      <w:sz w:val="21"/>
      <w:szCs w:val="20"/>
    </w:rPr>
  </w:style>
  <w:style w:type="character" w:customStyle="1" w:styleId="31">
    <w:name w:val="标题 2 Char"/>
    <w:basedOn w:val="20"/>
    <w:link w:val="5"/>
    <w:qFormat/>
    <w:uiPriority w:val="9"/>
    <w:rPr>
      <w:rFonts w:eastAsiaTheme="majorEastAsia" w:cstheme="majorBidi"/>
      <w:b/>
      <w:bCs/>
      <w:sz w:val="28"/>
      <w:szCs w:val="32"/>
    </w:rPr>
  </w:style>
  <w:style w:type="table" w:customStyle="1" w:styleId="32">
    <w:name w:val="网格型3"/>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font51"/>
    <w:basedOn w:val="20"/>
    <w:qFormat/>
    <w:uiPriority w:val="0"/>
    <w:rPr>
      <w:rFonts w:hint="default" w:ascii="Times New Roman" w:hAnsi="Times New Roman" w:cs="Times New Roman"/>
      <w:color w:val="000000"/>
      <w:sz w:val="22"/>
      <w:szCs w:val="22"/>
      <w:u w:val="none"/>
    </w:rPr>
  </w:style>
  <w:style w:type="character" w:customStyle="1" w:styleId="34">
    <w:name w:val="批注框文本 Char"/>
    <w:basedOn w:val="20"/>
    <w:link w:val="11"/>
    <w:qFormat/>
    <w:uiPriority w:val="0"/>
    <w:rPr>
      <w:rFonts w:ascii="Tahoma" w:hAnsi="Tahoma" w:eastAsia="微软雅黑" w:cstheme="minorBidi"/>
      <w:sz w:val="18"/>
      <w:szCs w:val="18"/>
    </w:rPr>
  </w:style>
  <w:style w:type="character" w:customStyle="1" w:styleId="35">
    <w:name w:val="页眉 Char"/>
    <w:basedOn w:val="20"/>
    <w:link w:val="13"/>
    <w:qFormat/>
    <w:uiPriority w:val="0"/>
    <w:rPr>
      <w:rFonts w:ascii="Tahoma" w:hAnsi="Tahoma" w:eastAsia="微软雅黑" w:cstheme="minorBidi"/>
      <w:sz w:val="18"/>
      <w:szCs w:val="18"/>
    </w:rPr>
  </w:style>
  <w:style w:type="character" w:customStyle="1" w:styleId="36">
    <w:name w:val="页脚 Char"/>
    <w:basedOn w:val="20"/>
    <w:link w:val="12"/>
    <w:qFormat/>
    <w:uiPriority w:val="99"/>
    <w:rPr>
      <w:rFonts w:ascii="Tahoma" w:hAnsi="Tahoma" w:eastAsia="微软雅黑" w:cstheme="minorBidi"/>
      <w:sz w:val="18"/>
      <w:szCs w:val="18"/>
    </w:rPr>
  </w:style>
  <w:style w:type="character" w:customStyle="1" w:styleId="37">
    <w:name w:val="正文01 Char"/>
    <w:link w:val="38"/>
    <w:qFormat/>
    <w:uiPriority w:val="0"/>
    <w:rPr>
      <w:rFonts w:ascii="Arial" w:hAnsi="Arial" w:cs="Arial"/>
      <w:sz w:val="24"/>
      <w:szCs w:val="24"/>
    </w:rPr>
  </w:style>
  <w:style w:type="paragraph" w:customStyle="1" w:styleId="38">
    <w:name w:val="正文01"/>
    <w:basedOn w:val="9"/>
    <w:link w:val="37"/>
    <w:qFormat/>
    <w:uiPriority w:val="0"/>
    <w:pPr>
      <w:adjustRightInd/>
      <w:snapToGrid/>
      <w:spacing w:after="0" w:line="400" w:lineRule="exact"/>
      <w:ind w:firstLine="200"/>
    </w:pPr>
    <w:rPr>
      <w:rFonts w:ascii="Arial" w:hAnsi="Arial" w:eastAsia="宋体" w:cs="Arial"/>
      <w:sz w:val="24"/>
      <w:szCs w:val="24"/>
    </w:rPr>
  </w:style>
  <w:style w:type="character" w:customStyle="1" w:styleId="39">
    <w:name w:val="正文缩进 Char"/>
    <w:link w:val="7"/>
    <w:qFormat/>
    <w:uiPriority w:val="0"/>
    <w:rPr>
      <w:rFonts w:ascii="Tahoma" w:hAnsi="Tahoma" w:eastAsia="微软雅黑" w:cstheme="minorBidi"/>
      <w:kern w:val="2"/>
      <w:sz w:val="22"/>
    </w:rPr>
  </w:style>
  <w:style w:type="paragraph" w:customStyle="1" w:styleId="40">
    <w:name w:val="表字"/>
    <w:basedOn w:val="1"/>
    <w:qFormat/>
    <w:uiPriority w:val="0"/>
    <w:pPr>
      <w:adjustRightInd/>
      <w:spacing w:after="0" w:line="280" w:lineRule="exact"/>
      <w:jc w:val="center"/>
    </w:pPr>
    <w:rPr>
      <w:rFonts w:ascii="Times New Roman" w:hAnsi="Times New Roman" w:eastAsia="宋体" w:cs="Times New Roman"/>
      <w:szCs w:val="21"/>
    </w:rPr>
  </w:style>
  <w:style w:type="paragraph" w:customStyle="1" w:styleId="41">
    <w:name w:val="a正文缩进"/>
    <w:qFormat/>
    <w:uiPriority w:val="0"/>
    <w:pPr>
      <w:spacing w:line="360" w:lineRule="auto"/>
      <w:ind w:firstLine="200" w:firstLineChars="200"/>
    </w:pPr>
    <w:rPr>
      <w:rFonts w:ascii="Arial" w:hAnsi="Arial" w:eastAsia="宋体" w:cs="宋体"/>
      <w:color w:val="000000"/>
      <w:spacing w:val="7"/>
      <w:sz w:val="24"/>
      <w:szCs w:val="26"/>
      <w:lang w:val="en-US" w:eastAsia="zh-CN" w:bidi="ar-SA"/>
    </w:rPr>
  </w:style>
  <w:style w:type="character" w:customStyle="1" w:styleId="42">
    <w:name w:val="批注文字 Char"/>
    <w:basedOn w:val="20"/>
    <w:link w:val="8"/>
    <w:qFormat/>
    <w:uiPriority w:val="99"/>
    <w:rPr>
      <w:rFonts w:ascii="Tahoma" w:hAnsi="Tahoma" w:eastAsia="微软雅黑" w:cstheme="minorBidi"/>
      <w:sz w:val="22"/>
      <w:szCs w:val="22"/>
    </w:rPr>
  </w:style>
  <w:style w:type="character" w:customStyle="1" w:styleId="43">
    <w:name w:val="批注主题 Char"/>
    <w:basedOn w:val="42"/>
    <w:link w:val="16"/>
    <w:qFormat/>
    <w:uiPriority w:val="0"/>
    <w:rPr>
      <w:rFonts w:ascii="Tahoma" w:hAnsi="Tahoma" w:eastAsia="微软雅黑" w:cstheme="minorBidi"/>
      <w:b/>
      <w:bCs/>
      <w:sz w:val="22"/>
      <w:szCs w:val="22"/>
    </w:rPr>
  </w:style>
  <w:style w:type="character" w:customStyle="1" w:styleId="44">
    <w:name w:val="font31"/>
    <w:basedOn w:val="20"/>
    <w:qFormat/>
    <w:uiPriority w:val="0"/>
    <w:rPr>
      <w:rFonts w:hint="default" w:ascii="Times New Roman" w:hAnsi="Times New Roman" w:cs="Times New Roman"/>
      <w:color w:val="000000"/>
      <w:sz w:val="20"/>
      <w:szCs w:val="20"/>
      <w:u w:val="none"/>
    </w:rPr>
  </w:style>
  <w:style w:type="character" w:customStyle="1" w:styleId="45">
    <w:name w:val="font21"/>
    <w:basedOn w:val="20"/>
    <w:qFormat/>
    <w:uiPriority w:val="0"/>
    <w:rPr>
      <w:rFonts w:hint="eastAsia" w:ascii="宋体" w:hAnsi="宋体" w:eastAsia="宋体" w:cs="宋体"/>
      <w:color w:val="000000"/>
      <w:sz w:val="20"/>
      <w:szCs w:val="20"/>
      <w:u w:val="none"/>
    </w:rPr>
  </w:style>
  <w:style w:type="paragraph" w:customStyle="1" w:styleId="46">
    <w:name w:val="a正文居中"/>
    <w:qFormat/>
    <w:uiPriority w:val="0"/>
    <w:pPr>
      <w:spacing w:line="360" w:lineRule="auto"/>
      <w:jc w:val="center"/>
    </w:pPr>
    <w:rPr>
      <w:rFonts w:ascii="Arial" w:hAnsi="Arial" w:eastAsia="宋体" w:cs="宋体"/>
      <w:color w:val="333333"/>
      <w:spacing w:val="23"/>
      <w:sz w:val="24"/>
      <w:szCs w:val="24"/>
      <w:lang w:val="en-US" w:eastAsia="zh-CN" w:bidi="ar-SA"/>
    </w:rPr>
  </w:style>
  <w:style w:type="paragraph" w:customStyle="1" w:styleId="47">
    <w:name w:val="修订1"/>
    <w:hidden/>
    <w:semiHidden/>
    <w:qFormat/>
    <w:uiPriority w:val="99"/>
    <w:rPr>
      <w:rFonts w:ascii="Tahoma" w:hAnsi="Tahoma" w:eastAsia="微软雅黑" w:cstheme="minorBidi"/>
      <w:sz w:val="22"/>
      <w:szCs w:val="22"/>
      <w:lang w:val="en-US" w:eastAsia="zh-CN" w:bidi="ar-SA"/>
    </w:rPr>
  </w:style>
  <w:style w:type="paragraph" w:customStyle="1" w:styleId="48">
    <w:name w:val="列出段落3"/>
    <w:basedOn w:val="1"/>
    <w:qFormat/>
    <w:uiPriority w:val="99"/>
    <w:pPr>
      <w:ind w:firstLine="420" w:firstLineChars="200"/>
    </w:pPr>
  </w:style>
  <w:style w:type="paragraph" w:customStyle="1" w:styleId="49">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41.jpeg"/><Relationship Id="rId50" Type="http://schemas.openxmlformats.org/officeDocument/2006/relationships/image" Target="media/image40.jpeg"/><Relationship Id="rId5" Type="http://schemas.openxmlformats.org/officeDocument/2006/relationships/footer" Target="footer2.xml"/><Relationship Id="rId49" Type="http://schemas.openxmlformats.org/officeDocument/2006/relationships/image" Target="media/image39.jpeg"/><Relationship Id="rId48" Type="http://schemas.openxmlformats.org/officeDocument/2006/relationships/image" Target="media/image38.jpeg"/><Relationship Id="rId47" Type="http://schemas.openxmlformats.org/officeDocument/2006/relationships/image" Target="media/image37.jpeg"/><Relationship Id="rId46" Type="http://schemas.openxmlformats.org/officeDocument/2006/relationships/image" Target="media/image36.jpe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jpeg"/><Relationship Id="rId40" Type="http://schemas.openxmlformats.org/officeDocument/2006/relationships/image" Target="media/image30.jpeg"/><Relationship Id="rId4" Type="http://schemas.openxmlformats.org/officeDocument/2006/relationships/footer" Target="footer1.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jpe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emf"/><Relationship Id="rId17" Type="http://schemas.openxmlformats.org/officeDocument/2006/relationships/oleObject" Target="embeddings/oleObject3.bin"/><Relationship Id="rId16" Type="http://schemas.openxmlformats.org/officeDocument/2006/relationships/image" Target="media/image7.emf"/><Relationship Id="rId15" Type="http://schemas.openxmlformats.org/officeDocument/2006/relationships/oleObject" Target="embeddings/oleObject2.bin"/><Relationship Id="rId14" Type="http://schemas.openxmlformats.org/officeDocument/2006/relationships/image" Target="media/image6.emf"/><Relationship Id="rId13" Type="http://schemas.openxmlformats.org/officeDocument/2006/relationships/oleObject" Target="embeddings/oleObject1.bin"/><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13709</Words>
  <Characters>16018</Characters>
  <Lines>123</Lines>
  <Paragraphs>34</Paragraphs>
  <TotalTime>0</TotalTime>
  <ScaleCrop>false</ScaleCrop>
  <LinksUpToDate>false</LinksUpToDate>
  <CharactersWithSpaces>16368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2022-05-02T07:42:00Z</dcterms:created>
  <dc:creator>41882</dc:creator>
  <cp:lastModifiedBy>carol</cp:lastModifiedBy>
  <dcterms:modified xsi:type="dcterms:W3CDTF">2022-06-23T05:29:55Z</dcterms:modified>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08CA26AAE2C54328927E6885B6DEEA19</vt:lpwstr>
  </property>
</Properties>
</file>